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7B749674" w:rsidR="00EE1691" w:rsidRPr="00F425A3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>4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696852" w:rsidRPr="00BF1941">
        <w:rPr>
          <w:rFonts w:ascii="Arial" w:eastAsia="Times New Roman" w:hAnsi="Arial"/>
          <w:b/>
          <w:sz w:val="22"/>
          <w:szCs w:val="22"/>
          <w:lang w:eastAsia="zh-CN"/>
        </w:rPr>
        <w:t>23</w:t>
      </w:r>
      <w:r w:rsidR="00675C5B">
        <w:rPr>
          <w:rFonts w:ascii="Arial" w:eastAsia="Times New Roman" w:hAnsi="Arial"/>
          <w:b/>
          <w:sz w:val="22"/>
          <w:szCs w:val="22"/>
          <w:lang w:eastAsia="zh-CN"/>
        </w:rPr>
        <w:t>1</w:t>
      </w:r>
      <w:r w:rsidR="00605D85">
        <w:rPr>
          <w:rFonts w:ascii="Arial" w:eastAsia="Times New Roman" w:hAnsi="Arial"/>
          <w:b/>
          <w:sz w:val="22"/>
          <w:szCs w:val="22"/>
          <w:lang w:eastAsia="zh-CN"/>
        </w:rPr>
        <w:t>2149</w:t>
      </w:r>
    </w:p>
    <w:p w14:paraId="13BF5ACD" w14:textId="17DE5951" w:rsidR="00FB36E8" w:rsidRPr="00BF1941" w:rsidRDefault="00300792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882B99">
        <w:rPr>
          <w:sz w:val="22"/>
          <w:szCs w:val="22"/>
        </w:rPr>
        <w:t>-1</w:t>
      </w:r>
      <w:r>
        <w:rPr>
          <w:sz w:val="22"/>
          <w:szCs w:val="22"/>
        </w:rPr>
        <w:t>7</w:t>
      </w:r>
      <w:r w:rsidR="00D45697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Nov</w:t>
      </w:r>
      <w:r w:rsidR="00D5499C">
        <w:rPr>
          <w:sz w:val="22"/>
          <w:szCs w:val="22"/>
        </w:rPr>
        <w:t>,</w:t>
      </w:r>
      <w:proofErr w:type="gramEnd"/>
      <w:r w:rsidR="00FB36E8" w:rsidRPr="00BF1941">
        <w:rPr>
          <w:sz w:val="22"/>
          <w:szCs w:val="22"/>
        </w:rPr>
        <w:t xml:space="preserve"> 2023</w:t>
      </w:r>
    </w:p>
    <w:p w14:paraId="52AA1637" w14:textId="7C689895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CD3114" w:rsidRPr="00433231">
        <w:rPr>
          <w:sz w:val="22"/>
          <w:szCs w:val="22"/>
          <w:lang w:val="sv-SE"/>
        </w:rPr>
        <w:t>7</w:t>
      </w:r>
      <w:r w:rsidRPr="00433231">
        <w:rPr>
          <w:sz w:val="22"/>
          <w:szCs w:val="22"/>
          <w:lang w:val="sv-SE"/>
        </w:rPr>
        <w:t>.</w:t>
      </w:r>
      <w:r w:rsidR="00326386" w:rsidRPr="00433231">
        <w:rPr>
          <w:sz w:val="22"/>
          <w:szCs w:val="22"/>
          <w:lang w:val="sv-SE"/>
        </w:rPr>
        <w:t>1</w:t>
      </w:r>
      <w:r w:rsidR="002A7743" w:rsidRPr="00433231">
        <w:rPr>
          <w:sz w:val="22"/>
          <w:szCs w:val="22"/>
          <w:lang w:val="sv-SE"/>
        </w:rPr>
        <w:t>2</w:t>
      </w:r>
      <w:r w:rsidR="00326386" w:rsidRPr="00433231">
        <w:rPr>
          <w:sz w:val="22"/>
          <w:szCs w:val="22"/>
          <w:lang w:val="sv-SE"/>
        </w:rPr>
        <w:t>.</w:t>
      </w:r>
      <w:r w:rsidR="008D5249">
        <w:rPr>
          <w:sz w:val="22"/>
          <w:szCs w:val="22"/>
          <w:lang w:val="sv-SE"/>
        </w:rPr>
        <w:t>2.5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67277A8C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15387">
        <w:rPr>
          <w:sz w:val="22"/>
          <w:szCs w:val="22"/>
        </w:rPr>
        <w:t>Discussion on mobile IAB</w:t>
      </w:r>
      <w:r w:rsidR="00444818">
        <w:rPr>
          <w:sz w:val="22"/>
          <w:szCs w:val="22"/>
        </w:rPr>
        <w:t xml:space="preserve">-MT </w:t>
      </w:r>
      <w:r w:rsidR="00F15387">
        <w:rPr>
          <w:sz w:val="22"/>
          <w:szCs w:val="22"/>
        </w:rPr>
        <w:t>UE capability</w:t>
      </w:r>
      <w:r w:rsidR="00D27601" w:rsidRPr="00D27601">
        <w:rPr>
          <w:sz w:val="22"/>
          <w:szCs w:val="22"/>
        </w:rPr>
        <w:t xml:space="preserve"> 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6A7E2420" w14:textId="02A8F90A" w:rsidR="00566499" w:rsidRDefault="00F15387" w:rsidP="00566499">
      <w:pPr>
        <w:rPr>
          <w:lang w:val="en-GB"/>
        </w:rPr>
      </w:pPr>
      <w:r>
        <w:rPr>
          <w:lang w:val="en-GB"/>
        </w:rPr>
        <w:t xml:space="preserve">UE capability impact of mobile IAB was discussed in </w:t>
      </w:r>
      <w:r w:rsidR="003802AC" w:rsidRPr="003802AC">
        <w:rPr>
          <w:lang w:val="en-GB"/>
        </w:rPr>
        <w:t>[Post123][</w:t>
      </w:r>
      <w:proofErr w:type="gramStart"/>
      <w:r w:rsidR="003802AC" w:rsidRPr="003802AC">
        <w:rPr>
          <w:lang w:val="en-GB"/>
        </w:rPr>
        <w:t>051][</w:t>
      </w:r>
      <w:proofErr w:type="gramEnd"/>
      <w:r w:rsidR="003802AC" w:rsidRPr="003802AC">
        <w:rPr>
          <w:lang w:val="en-GB"/>
        </w:rPr>
        <w:t>mIAB] Running CRs UE caps (Nokia)</w:t>
      </w:r>
      <w:r w:rsidR="003802AC">
        <w:rPr>
          <w:lang w:val="en-GB"/>
        </w:rPr>
        <w:t xml:space="preserve"> with following proposal</w:t>
      </w:r>
      <w:r w:rsidR="00D27392">
        <w:rPr>
          <w:lang w:val="en-GB"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7392" w14:paraId="1B7F37F2" w14:textId="77777777" w:rsidTr="00D27392">
        <w:tc>
          <w:tcPr>
            <w:tcW w:w="9350" w:type="dxa"/>
          </w:tcPr>
          <w:p w14:paraId="02BA68D0" w14:textId="77777777" w:rsidR="00D27392" w:rsidRPr="00D27392" w:rsidRDefault="00D27392" w:rsidP="00D27392">
            <w:pPr>
              <w:rPr>
                <w:lang w:val="en-GB"/>
              </w:rPr>
            </w:pPr>
            <w:r w:rsidRPr="00D27392">
              <w:rPr>
                <w:lang w:val="en-GB"/>
              </w:rPr>
              <w:t xml:space="preserve">Proposal 1: RAN2 assumes mobile-IAB capability is introduced in Rel-18. FFS: if requirement for this capability is impacted by RAN3 agreements on </w:t>
            </w:r>
            <w:proofErr w:type="spellStart"/>
            <w:r w:rsidRPr="00D27392">
              <w:rPr>
                <w:lang w:val="en-GB"/>
              </w:rPr>
              <w:t>Xn</w:t>
            </w:r>
            <w:proofErr w:type="spellEnd"/>
            <w:r w:rsidRPr="00D27392">
              <w:rPr>
                <w:lang w:val="en-GB"/>
              </w:rPr>
              <w:t xml:space="preserve"> signalling. FFS: if any need to clarify with SA2 the intention of “for a MBSR node to operate as a MBSR” from clause 5.35A.1 of TS 23.501.</w:t>
            </w:r>
          </w:p>
          <w:p w14:paraId="4453A6D0" w14:textId="77777777" w:rsidR="00D27392" w:rsidRPr="00D27392" w:rsidRDefault="00D27392" w:rsidP="00D27392">
            <w:pPr>
              <w:rPr>
                <w:lang w:val="en-GB"/>
              </w:rPr>
            </w:pPr>
            <w:r w:rsidRPr="00D27392">
              <w:rPr>
                <w:lang w:val="en-GB"/>
              </w:rPr>
              <w:t>Proposal 2: No spec impact to TS 38.306 related to allowing mobile IAB nodes to access legacy IAB nodes.</w:t>
            </w:r>
          </w:p>
          <w:p w14:paraId="58335CB2" w14:textId="77777777" w:rsidR="00D27392" w:rsidRPr="00D27392" w:rsidRDefault="00D27392" w:rsidP="00D27392">
            <w:pPr>
              <w:rPr>
                <w:lang w:val="en-GB"/>
              </w:rPr>
            </w:pPr>
            <w:r w:rsidRPr="00D27392">
              <w:rPr>
                <w:lang w:val="en-GB"/>
              </w:rPr>
              <w:t>Proposal 3: No spec impact to TS 38.306 related to mobile IAB cell reselection prioritization.</w:t>
            </w:r>
          </w:p>
          <w:p w14:paraId="4577EF0E" w14:textId="77777777" w:rsidR="00D27392" w:rsidRPr="00D27392" w:rsidRDefault="00D27392" w:rsidP="00D27392">
            <w:pPr>
              <w:rPr>
                <w:lang w:val="en-GB"/>
              </w:rPr>
            </w:pPr>
            <w:r w:rsidRPr="00D27392">
              <w:rPr>
                <w:lang w:val="en-GB"/>
              </w:rPr>
              <w:t>Proposal 4: RAN2 waits for RAN4 before further discussing measurement and mobility-related capability impacts to Rel-18 mobile IAB.</w:t>
            </w:r>
          </w:p>
          <w:p w14:paraId="7C887F0E" w14:textId="3ECB2DD0" w:rsidR="00D27392" w:rsidRDefault="00D27392" w:rsidP="00566499">
            <w:pPr>
              <w:rPr>
                <w:lang w:val="en-GB"/>
              </w:rPr>
            </w:pPr>
            <w:r w:rsidRPr="00D27392">
              <w:rPr>
                <w:lang w:val="en-GB"/>
              </w:rPr>
              <w:t>Proposal 5: RAN2 awaits further progress on RACH-less HO before evaluating UE capability impacts for this feature.</w:t>
            </w:r>
          </w:p>
        </w:tc>
      </w:tr>
    </w:tbl>
    <w:p w14:paraId="33CEA40F" w14:textId="34934CD7" w:rsidR="00D27392" w:rsidRPr="00566499" w:rsidRDefault="003E3441" w:rsidP="00566499">
      <w:pPr>
        <w:rPr>
          <w:lang w:val="en-GB"/>
        </w:rPr>
      </w:pPr>
      <w:r>
        <w:rPr>
          <w:lang w:val="en-GB"/>
        </w:rPr>
        <w:t>In this contribution, we continue discuss the potential need of introducing separate UE capability for mobile IAB-MT.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7E607AA6" w14:textId="482F7397" w:rsidR="00FE2C4C" w:rsidRDefault="00FE2C4C" w:rsidP="00E12820">
      <w:pPr>
        <w:pStyle w:val="Heading2"/>
      </w:pPr>
      <w:r>
        <w:t>Supporting DC at mobile IAB-MT</w:t>
      </w:r>
    </w:p>
    <w:p w14:paraId="2B4C25B3" w14:textId="77777777" w:rsidR="008E2643" w:rsidRDefault="008E2643" w:rsidP="008E2643">
      <w:pPr>
        <w:rPr>
          <w:lang w:val="en-GB"/>
        </w:rPr>
      </w:pPr>
      <w:r>
        <w:rPr>
          <w:lang w:val="en-GB"/>
        </w:rPr>
        <w:t>It was captured FFS in R2-2311613 [1] that whether NR-DC is supported for mobile IAB-node is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2643" w14:paraId="2A4B6113" w14:textId="77777777">
        <w:tc>
          <w:tcPr>
            <w:tcW w:w="9350" w:type="dxa"/>
          </w:tcPr>
          <w:p w14:paraId="234F0A50" w14:textId="77777777" w:rsidR="008E2643" w:rsidRDefault="008E2643">
            <w:pPr>
              <w:pStyle w:val="EditorsNote"/>
            </w:pPr>
            <w:r>
              <w:t xml:space="preserve">Editor’s NOTE: FFS whether NR dual-connectivity is </w:t>
            </w:r>
            <w:r w:rsidRPr="000157F8">
              <w:rPr>
                <w:rFonts w:eastAsia="SimSun"/>
                <w:lang w:eastAsia="zh-CN"/>
              </w:rPr>
              <w:t xml:space="preserve">supported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0157F8">
              <w:rPr>
                <w:rFonts w:eastAsia="SimSun"/>
                <w:lang w:eastAsia="zh-CN"/>
              </w:rPr>
              <w:t>mobile IAB</w:t>
            </w:r>
            <w:r>
              <w:rPr>
                <w:rFonts w:eastAsia="SimSun"/>
                <w:lang w:eastAsia="zh-CN"/>
              </w:rPr>
              <w:t>-node</w:t>
            </w:r>
            <w:r>
              <w:t xml:space="preserve">.  Need to address WID NOTE: the mobile of dual-connected IAB-nodes is down-prioritized”. This may not preclude the donor to dual-connect a DC-capable mIAB-MT, and then prevent mIAB-MT handover. </w:t>
            </w:r>
          </w:p>
        </w:tc>
      </w:tr>
    </w:tbl>
    <w:p w14:paraId="281E5550" w14:textId="6DFC3E5D" w:rsidR="00D11C63" w:rsidRDefault="00CE1AA8" w:rsidP="00FE2C4C">
      <w:pPr>
        <w:rPr>
          <w:lang w:val="en-GB"/>
        </w:rPr>
      </w:pPr>
      <w:r>
        <w:rPr>
          <w:lang w:val="en-GB"/>
        </w:rPr>
        <w:t xml:space="preserve">It was discussed in the companion contribution </w:t>
      </w:r>
      <w:r w:rsidR="00870137">
        <w:rPr>
          <w:lang w:val="en-GB"/>
        </w:rPr>
        <w:t>[2] that a mobile IAB-node can function as either Rel-16/Rel-17 IAB node or Rel-18 mobile IAB-node, by indicating different MSG5 early indication to the network.</w:t>
      </w:r>
      <w:r w:rsidR="00D11C63">
        <w:rPr>
          <w:lang w:val="en-GB"/>
        </w:rPr>
        <w:t xml:space="preserve"> After the mobile IAB-node receiving the authorization and successfully integrating to the network, IAB-MT will </w:t>
      </w:r>
      <w:r w:rsidR="006829CB">
        <w:rPr>
          <w:lang w:val="en-GB"/>
        </w:rPr>
        <w:t>report its capability</w:t>
      </w:r>
      <w:r w:rsidR="00D11C63">
        <w:rPr>
          <w:lang w:val="en-GB"/>
        </w:rPr>
        <w:t xml:space="preserve"> to the network. </w:t>
      </w:r>
    </w:p>
    <w:p w14:paraId="24EE2963" w14:textId="4EE2AD7C" w:rsidR="008E2643" w:rsidRDefault="00A2232E" w:rsidP="00FE2C4C">
      <w:pPr>
        <w:rPr>
          <w:lang w:val="en-GB"/>
        </w:rPr>
      </w:pPr>
      <w:r>
        <w:rPr>
          <w:lang w:val="en-GB"/>
        </w:rPr>
        <w:t xml:space="preserve">In our understanding, since UE capability is static, the IAB-MT needs to report both supported Rel-16/17 legacy IAB-MT UE capabilities and supported Rel-18 mIAB-MT UE capabilities (if supported). Therefore, when </w:t>
      </w:r>
      <w:proofErr w:type="spellStart"/>
      <w:r>
        <w:rPr>
          <w:lang w:val="en-GB"/>
        </w:rPr>
        <w:t>mIAB</w:t>
      </w:r>
      <w:proofErr w:type="spellEnd"/>
      <w:r>
        <w:rPr>
          <w:lang w:val="en-GB"/>
        </w:rPr>
        <w:t>-MT is function</w:t>
      </w:r>
      <w:r w:rsidR="001C57CC">
        <w:rPr>
          <w:lang w:val="en-GB"/>
        </w:rPr>
        <w:t>ing</w:t>
      </w:r>
      <w:r>
        <w:rPr>
          <w:lang w:val="en-GB"/>
        </w:rPr>
        <w:t xml:space="preserve"> as Rel-16/17 IAB-node, </w:t>
      </w:r>
      <w:r w:rsidR="009500E6">
        <w:rPr>
          <w:lang w:val="en-GB"/>
        </w:rPr>
        <w:t xml:space="preserve">the network can still configure the mIAB-MT with DC if </w:t>
      </w:r>
      <w:r>
        <w:rPr>
          <w:lang w:val="en-GB"/>
        </w:rPr>
        <w:t>legacy UE capability field</w:t>
      </w:r>
      <w:r w:rsidR="00A9426F">
        <w:rPr>
          <w:lang w:val="en-GB"/>
        </w:rPr>
        <w:t xml:space="preserve">s as defined in Section 4.2.15.9 and Section 4.2.15.10 </w:t>
      </w:r>
      <w:r w:rsidR="00F61F7D">
        <w:rPr>
          <w:lang w:val="en-GB"/>
        </w:rPr>
        <w:t xml:space="preserve">in TS 38.306 [3] </w:t>
      </w:r>
      <w:r w:rsidR="009500E6">
        <w:rPr>
          <w:lang w:val="en-GB"/>
        </w:rPr>
        <w:t>are</w:t>
      </w:r>
      <w:r w:rsidR="005C76F1">
        <w:rPr>
          <w:lang w:val="en-GB"/>
        </w:rPr>
        <w:t xml:space="preserve"> indicated. </w:t>
      </w:r>
      <w:r w:rsidR="00BA01BA">
        <w:rPr>
          <w:lang w:val="en-GB"/>
        </w:rPr>
        <w:t xml:space="preserve">In our understanding, </w:t>
      </w:r>
      <w:r w:rsidR="008401C0">
        <w:rPr>
          <w:lang w:val="en-GB"/>
        </w:rPr>
        <w:t>the only open issue</w:t>
      </w:r>
      <w:r w:rsidR="00BA01BA">
        <w:rPr>
          <w:lang w:val="en-GB"/>
        </w:rPr>
        <w:t xml:space="preserve"> </w:t>
      </w:r>
      <w:r w:rsidR="008401C0">
        <w:rPr>
          <w:lang w:val="en-GB"/>
        </w:rPr>
        <w:t xml:space="preserve">is </w:t>
      </w:r>
      <w:r w:rsidR="008F15A9">
        <w:rPr>
          <w:lang w:val="en-GB"/>
        </w:rPr>
        <w:t xml:space="preserve">when </w:t>
      </w:r>
      <w:proofErr w:type="spellStart"/>
      <w:r w:rsidR="008F15A9">
        <w:rPr>
          <w:lang w:val="en-GB"/>
        </w:rPr>
        <w:t>mIAB</w:t>
      </w:r>
      <w:proofErr w:type="spellEnd"/>
      <w:r w:rsidR="008F15A9">
        <w:rPr>
          <w:lang w:val="en-GB"/>
        </w:rPr>
        <w:t>-MT is function</w:t>
      </w:r>
      <w:r w:rsidR="001C57CC">
        <w:rPr>
          <w:lang w:val="en-GB"/>
        </w:rPr>
        <w:t>ing</w:t>
      </w:r>
      <w:r w:rsidR="008F15A9">
        <w:rPr>
          <w:lang w:val="en-GB"/>
        </w:rPr>
        <w:t xml:space="preserve"> as Rel-18 </w:t>
      </w:r>
      <w:proofErr w:type="spellStart"/>
      <w:r w:rsidR="008F15A9">
        <w:rPr>
          <w:lang w:val="en-GB"/>
        </w:rPr>
        <w:t>mIAB</w:t>
      </w:r>
      <w:proofErr w:type="spellEnd"/>
      <w:r w:rsidR="008F15A9">
        <w:rPr>
          <w:lang w:val="en-GB"/>
        </w:rPr>
        <w:t>-node</w:t>
      </w:r>
      <w:r w:rsidR="00FA31DA">
        <w:rPr>
          <w:lang w:val="en-GB"/>
        </w:rPr>
        <w:t>, and whether DC is applicable or not</w:t>
      </w:r>
      <w:r w:rsidR="00DC21AC">
        <w:rPr>
          <w:lang w:val="en-GB"/>
        </w:rPr>
        <w:t xml:space="preserve"> while mIAB-node is still moving</w:t>
      </w:r>
      <w:r w:rsidR="00FA31DA">
        <w:rPr>
          <w:lang w:val="en-GB"/>
        </w:rPr>
        <w:t>.</w:t>
      </w:r>
    </w:p>
    <w:p w14:paraId="72FE1793" w14:textId="58FDD406" w:rsidR="005A2A93" w:rsidRDefault="00162DE9" w:rsidP="007D5657">
      <w:pPr>
        <w:rPr>
          <w:lang w:val="en-GB"/>
        </w:rPr>
      </w:pPr>
      <w:r>
        <w:rPr>
          <w:lang w:val="en-GB"/>
        </w:rPr>
        <w:lastRenderedPageBreak/>
        <w:t>When mobile IAB-node is moving,</w:t>
      </w:r>
      <w:r w:rsidR="000C1AD6">
        <w:rPr>
          <w:lang w:val="en-GB"/>
        </w:rPr>
        <w:t xml:space="preserve"> it is not clear how DC works when </w:t>
      </w:r>
      <w:r w:rsidR="0010640C">
        <w:rPr>
          <w:lang w:val="en-GB"/>
        </w:rPr>
        <w:t xml:space="preserve">there are two logical DUs simultaneously </w:t>
      </w:r>
      <w:r w:rsidR="00D97621">
        <w:rPr>
          <w:lang w:val="en-GB"/>
        </w:rPr>
        <w:t>exist</w:t>
      </w:r>
      <w:r w:rsidR="0010640C">
        <w:rPr>
          <w:lang w:val="en-GB"/>
        </w:rPr>
        <w:t xml:space="preserve"> during DU migration</w:t>
      </w:r>
      <w:r w:rsidR="005A2A93">
        <w:rPr>
          <w:lang w:val="en-GB"/>
        </w:rPr>
        <w:t>, especially for the backhaul handling</w:t>
      </w:r>
      <w:r w:rsidR="0010640C">
        <w:rPr>
          <w:lang w:val="en-GB"/>
        </w:rPr>
        <w:t xml:space="preserve">. </w:t>
      </w:r>
      <w:r w:rsidR="00415AFC">
        <w:rPr>
          <w:lang w:val="en-GB"/>
        </w:rPr>
        <w:t>On the other hand, it may also be possible to that one network vendor wants to support DC during mobility</w:t>
      </w:r>
      <w:r w:rsidR="00366CD4">
        <w:rPr>
          <w:lang w:val="en-GB"/>
        </w:rPr>
        <w:t>.</w:t>
      </w:r>
      <w:r w:rsidR="00415AFC">
        <w:rPr>
          <w:lang w:val="en-GB"/>
        </w:rPr>
        <w:t xml:space="preserve"> </w:t>
      </w:r>
      <w:r w:rsidR="00D97621">
        <w:rPr>
          <w:lang w:val="en-GB"/>
        </w:rPr>
        <w:t>RAN2 has not studied this scenario.</w:t>
      </w:r>
    </w:p>
    <w:p w14:paraId="40AB2D38" w14:textId="793A2DEC" w:rsidR="005A2A93" w:rsidRDefault="005A2A93" w:rsidP="005A2A93">
      <w:pPr>
        <w:pStyle w:val="Obs-prop"/>
      </w:pPr>
      <w:r>
        <w:t xml:space="preserve">Observation </w:t>
      </w:r>
      <w:r w:rsidR="00C13799">
        <w:t>1</w:t>
      </w:r>
      <w:r>
        <w:t xml:space="preserve">: When </w:t>
      </w:r>
      <w:proofErr w:type="spellStart"/>
      <w:r>
        <w:t>mIAB</w:t>
      </w:r>
      <w:proofErr w:type="spellEnd"/>
      <w:r>
        <w:t>-MT is authorized as Rel-16/17 IAB-node, legacy UE capabilities (</w:t>
      </w:r>
      <w:proofErr w:type="gramStart"/>
      <w:r>
        <w:t>e.g.</w:t>
      </w:r>
      <w:proofErr w:type="gramEnd"/>
      <w:r>
        <w:t xml:space="preserve"> MR-DC, NR-DC capabilities for IAB) is used to indicate whether this mIAB-MT supports DC or not. The </w:t>
      </w:r>
      <w:r w:rsidR="0075777B">
        <w:t>open issue</w:t>
      </w:r>
      <w:r>
        <w:t xml:space="preserve"> is whether mIAB-MT supports DC when it is function</w:t>
      </w:r>
      <w:r w:rsidR="005B552D">
        <w:t>ing</w:t>
      </w:r>
      <w:r>
        <w:t xml:space="preserve"> as Rel-18 </w:t>
      </w:r>
      <w:proofErr w:type="spellStart"/>
      <w:r>
        <w:t>mIAB</w:t>
      </w:r>
      <w:proofErr w:type="spellEnd"/>
      <w:r>
        <w:t xml:space="preserve">-node and has two logical DU simultaneously while it’s moving. </w:t>
      </w:r>
    </w:p>
    <w:p w14:paraId="4F0B8BC9" w14:textId="586B65E8" w:rsidR="00A76A32" w:rsidRDefault="00366CD4" w:rsidP="007D5657">
      <w:pPr>
        <w:rPr>
          <w:lang w:val="en-GB"/>
        </w:rPr>
      </w:pPr>
      <w:r>
        <w:rPr>
          <w:lang w:val="en-GB"/>
        </w:rPr>
        <w:t xml:space="preserve">Considering </w:t>
      </w:r>
      <w:r w:rsidR="0075777B">
        <w:rPr>
          <w:lang w:val="en-GB"/>
        </w:rPr>
        <w:t>there</w:t>
      </w:r>
      <w:r w:rsidR="00CC2CC3">
        <w:rPr>
          <w:lang w:val="en-GB"/>
        </w:rPr>
        <w:t xml:space="preserve"> is the</w:t>
      </w:r>
      <w:r>
        <w:rPr>
          <w:lang w:val="en-GB"/>
        </w:rPr>
        <w:t xml:space="preserve"> only one meeting left in Rel-18, there’s no sufficient time to analys</w:t>
      </w:r>
      <w:r w:rsidR="0075777B">
        <w:rPr>
          <w:lang w:val="en-GB"/>
        </w:rPr>
        <w:t>e</w:t>
      </w:r>
      <w:r>
        <w:rPr>
          <w:lang w:val="en-GB"/>
        </w:rPr>
        <w:t xml:space="preserve"> whether it is workable or not. </w:t>
      </w:r>
      <w:r w:rsidR="00FE788B">
        <w:rPr>
          <w:lang w:val="en-GB"/>
        </w:rPr>
        <w:t xml:space="preserve">To allow the flexibility of implementation using DC </w:t>
      </w:r>
      <w:r w:rsidR="0075777B">
        <w:rPr>
          <w:lang w:val="en-GB"/>
        </w:rPr>
        <w:t>when</w:t>
      </w:r>
      <w:r w:rsidR="00FE788B">
        <w:rPr>
          <w:lang w:val="en-GB"/>
        </w:rPr>
        <w:t xml:space="preserve"> mobile IAB-node </w:t>
      </w:r>
      <w:r w:rsidR="0075777B">
        <w:rPr>
          <w:lang w:val="en-GB"/>
        </w:rPr>
        <w:t xml:space="preserve">is operating as a </w:t>
      </w:r>
      <w:proofErr w:type="spellStart"/>
      <w:r w:rsidR="0075777B">
        <w:rPr>
          <w:lang w:val="en-GB"/>
        </w:rPr>
        <w:t>mIAB</w:t>
      </w:r>
      <w:proofErr w:type="spellEnd"/>
      <w:r w:rsidR="0075777B">
        <w:rPr>
          <w:lang w:val="en-GB"/>
        </w:rPr>
        <w:t>-MT</w:t>
      </w:r>
      <w:r w:rsidR="00FE788B">
        <w:rPr>
          <w:lang w:val="en-GB"/>
        </w:rPr>
        <w:t>, we think the safer approach is to duplicate Rel-16/Rel-17 DC</w:t>
      </w:r>
      <w:r w:rsidR="00F82DB2">
        <w:rPr>
          <w:lang w:val="en-GB"/>
        </w:rPr>
        <w:t>-related capabilities</w:t>
      </w:r>
      <w:r w:rsidR="005A443F">
        <w:rPr>
          <w:lang w:val="en-GB"/>
        </w:rPr>
        <w:t xml:space="preserve"> (see below)</w:t>
      </w:r>
      <w:r w:rsidR="00F82DB2">
        <w:rPr>
          <w:lang w:val="en-GB"/>
        </w:rPr>
        <w:t xml:space="preserve"> for Rel-18 mobile IAB-MT, indicating whether mIAB-MT can support those corresponding capabilities during mobility.</w:t>
      </w:r>
    </w:p>
    <w:p w14:paraId="1728767A" w14:textId="77777777" w:rsidR="005A443F" w:rsidRPr="00BE555F" w:rsidRDefault="005A443F" w:rsidP="005A443F">
      <w:pPr>
        <w:pStyle w:val="Heading4"/>
      </w:pPr>
      <w:bookmarkStart w:id="0" w:name="_Toc46488694"/>
      <w:bookmarkStart w:id="1" w:name="_Toc52574115"/>
      <w:bookmarkStart w:id="2" w:name="_Toc52574201"/>
      <w:bookmarkStart w:id="3" w:name="_Toc139146827"/>
      <w:r w:rsidRPr="00BE555F">
        <w:t>4.2.15.9</w:t>
      </w:r>
      <w:r w:rsidRPr="00BE555F">
        <w:tab/>
        <w:t>MR-DC Parameters</w:t>
      </w:r>
      <w:bookmarkEnd w:id="0"/>
      <w:bookmarkEnd w:id="1"/>
      <w:bookmarkEnd w:id="2"/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5A443F" w:rsidRPr="00BE555F" w14:paraId="7184C373" w14:textId="77777777" w:rsidTr="006D084E">
        <w:trPr>
          <w:cantSplit/>
          <w:tblHeader/>
        </w:trPr>
        <w:tc>
          <w:tcPr>
            <w:tcW w:w="6946" w:type="dxa"/>
          </w:tcPr>
          <w:p w14:paraId="0655E052" w14:textId="77777777" w:rsidR="005A443F" w:rsidRPr="00BE555F" w:rsidRDefault="005A443F" w:rsidP="006D084E">
            <w:pPr>
              <w:pStyle w:val="TAH"/>
            </w:pPr>
            <w:r w:rsidRPr="00BE555F">
              <w:t>Definitions for parameters</w:t>
            </w:r>
          </w:p>
        </w:tc>
        <w:tc>
          <w:tcPr>
            <w:tcW w:w="680" w:type="dxa"/>
          </w:tcPr>
          <w:p w14:paraId="278B4D88" w14:textId="77777777" w:rsidR="005A443F" w:rsidRPr="00BE555F" w:rsidRDefault="005A443F" w:rsidP="006D084E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262A2689" w14:textId="77777777" w:rsidR="005A443F" w:rsidRPr="00BE555F" w:rsidRDefault="005A443F" w:rsidP="006D084E">
            <w:pPr>
              <w:pStyle w:val="TAH"/>
            </w:pPr>
            <w:r w:rsidRPr="00BE555F">
              <w:t>M</w:t>
            </w:r>
          </w:p>
        </w:tc>
        <w:tc>
          <w:tcPr>
            <w:tcW w:w="807" w:type="dxa"/>
          </w:tcPr>
          <w:p w14:paraId="3A151E3A" w14:textId="77777777" w:rsidR="005A443F" w:rsidRPr="00BE555F" w:rsidRDefault="005A443F" w:rsidP="006D084E">
            <w:pPr>
              <w:pStyle w:val="TAH"/>
            </w:pPr>
            <w:r w:rsidRPr="00BE555F">
              <w:t>FDD-TDD</w:t>
            </w:r>
          </w:p>
          <w:p w14:paraId="57356359" w14:textId="77777777" w:rsidR="005A443F" w:rsidRPr="00BE555F" w:rsidRDefault="005A443F" w:rsidP="006D084E">
            <w:pPr>
              <w:pStyle w:val="TAH"/>
            </w:pPr>
            <w:r w:rsidRPr="00BE555F">
              <w:t>DIFF</w:t>
            </w:r>
          </w:p>
        </w:tc>
        <w:tc>
          <w:tcPr>
            <w:tcW w:w="630" w:type="dxa"/>
          </w:tcPr>
          <w:p w14:paraId="363123BA" w14:textId="77777777" w:rsidR="005A443F" w:rsidRPr="00BE555F" w:rsidRDefault="005A443F" w:rsidP="006D084E">
            <w:pPr>
              <w:pStyle w:val="TAH"/>
            </w:pPr>
            <w:r w:rsidRPr="00BE555F">
              <w:t>FR1-FR2</w:t>
            </w:r>
          </w:p>
          <w:p w14:paraId="16345A9C" w14:textId="77777777" w:rsidR="005A443F" w:rsidRPr="00BE555F" w:rsidRDefault="005A443F" w:rsidP="006D084E">
            <w:pPr>
              <w:pStyle w:val="TAH"/>
            </w:pPr>
            <w:r w:rsidRPr="00BE555F">
              <w:t>DIFF</w:t>
            </w:r>
          </w:p>
        </w:tc>
      </w:tr>
      <w:tr w:rsidR="005A443F" w:rsidRPr="00BE555F" w14:paraId="3CD8C6FF" w14:textId="77777777" w:rsidTr="006D084E">
        <w:trPr>
          <w:cantSplit/>
          <w:tblHeader/>
        </w:trPr>
        <w:tc>
          <w:tcPr>
            <w:tcW w:w="6946" w:type="dxa"/>
          </w:tcPr>
          <w:p w14:paraId="0D4AF623" w14:textId="77777777" w:rsidR="005A443F" w:rsidRPr="00BE555F" w:rsidRDefault="005A443F" w:rsidP="006D084E">
            <w:pPr>
              <w:pStyle w:val="TAL"/>
              <w:rPr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f1c-OverEUTRA-r16</w:t>
            </w:r>
          </w:p>
          <w:p w14:paraId="0FD14ACD" w14:textId="77777777" w:rsidR="005A443F" w:rsidRPr="00BE555F" w:rsidRDefault="005A443F" w:rsidP="006D084E">
            <w:pPr>
              <w:pStyle w:val="TAL"/>
              <w:rPr>
                <w:bCs/>
              </w:rPr>
            </w:pPr>
            <w:r w:rsidRPr="00BE555F">
              <w:rPr>
                <w:bCs/>
              </w:rPr>
              <w:t xml:space="preserve">Indicates whether the IAB-MT supports F1-C signalling over </w:t>
            </w:r>
            <w:proofErr w:type="spellStart"/>
            <w:r w:rsidRPr="00BE555F">
              <w:rPr>
                <w:bCs/>
                <w:i/>
                <w:iCs/>
              </w:rPr>
              <w:t>DLInformationTransfer</w:t>
            </w:r>
            <w:proofErr w:type="spellEnd"/>
            <w:r w:rsidRPr="00BE555F">
              <w:rPr>
                <w:bCs/>
              </w:rPr>
              <w:t xml:space="preserve"> and </w:t>
            </w:r>
            <w:proofErr w:type="spellStart"/>
            <w:r w:rsidRPr="00BE555F">
              <w:rPr>
                <w:bCs/>
                <w:i/>
                <w:iCs/>
              </w:rPr>
              <w:t>ULInformationTransfer</w:t>
            </w:r>
            <w:proofErr w:type="spellEnd"/>
            <w:r w:rsidRPr="00BE555F">
              <w:rPr>
                <w:bCs/>
              </w:rPr>
              <w:t xml:space="preserve"> messages via MN when IAB-MT operates in EN-DC mode, as specified in TS 36.331 [17].</w:t>
            </w:r>
          </w:p>
        </w:tc>
        <w:tc>
          <w:tcPr>
            <w:tcW w:w="680" w:type="dxa"/>
          </w:tcPr>
          <w:p w14:paraId="6B2F42C8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F21E839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807" w:type="dxa"/>
          </w:tcPr>
          <w:p w14:paraId="22D68609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630" w:type="dxa"/>
          </w:tcPr>
          <w:p w14:paraId="1AE0CB02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</w:tr>
      <w:tr w:rsidR="005A443F" w:rsidRPr="00BE555F" w14:paraId="271728C0" w14:textId="77777777" w:rsidTr="006D084E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46" w:type="dxa"/>
          </w:tcPr>
          <w:p w14:paraId="6356F21C" w14:textId="77777777" w:rsidR="005A443F" w:rsidRPr="00BE555F" w:rsidRDefault="005A443F" w:rsidP="006D084E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scg-DRB-NR-IAB-r16</w:t>
            </w:r>
          </w:p>
          <w:p w14:paraId="19931555" w14:textId="77777777" w:rsidR="005A443F" w:rsidRPr="00BE555F" w:rsidRDefault="005A443F" w:rsidP="006D084E">
            <w:pPr>
              <w:pStyle w:val="TAL"/>
            </w:pPr>
            <w:r w:rsidRPr="00BE555F">
              <w:t>Indicates whether the IAB-MT supports SCG DRB with NR PDCP when IAB-MT operates in EN-DC mode.</w:t>
            </w:r>
          </w:p>
        </w:tc>
        <w:tc>
          <w:tcPr>
            <w:tcW w:w="680" w:type="dxa"/>
          </w:tcPr>
          <w:p w14:paraId="3AA62CB4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140DD288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807" w:type="dxa"/>
          </w:tcPr>
          <w:p w14:paraId="7152566A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630" w:type="dxa"/>
          </w:tcPr>
          <w:p w14:paraId="7ECA0462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</w:tr>
      <w:tr w:rsidR="005A443F" w:rsidRPr="00BE555F" w14:paraId="6D020462" w14:textId="77777777" w:rsidTr="006D084E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46" w:type="dxa"/>
          </w:tcPr>
          <w:p w14:paraId="3E831F0C" w14:textId="77777777" w:rsidR="005A443F" w:rsidRPr="00BE555F" w:rsidRDefault="005A443F" w:rsidP="006D084E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interNR-MeasEUTRA-IAB-r16</w:t>
            </w:r>
          </w:p>
          <w:p w14:paraId="474AEC45" w14:textId="77777777" w:rsidR="005A443F" w:rsidRPr="00BE555F" w:rsidRDefault="005A443F" w:rsidP="006D084E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>Indicates whether the IAB-MT supports NR measurement and reports while in EUTRA connected and event B1-based measurement and reports while in EUTRA connected.</w:t>
            </w:r>
          </w:p>
        </w:tc>
        <w:tc>
          <w:tcPr>
            <w:tcW w:w="680" w:type="dxa"/>
          </w:tcPr>
          <w:p w14:paraId="2056F5E6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324426F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807" w:type="dxa"/>
          </w:tcPr>
          <w:p w14:paraId="611579E8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  <w:tc>
          <w:tcPr>
            <w:tcW w:w="630" w:type="dxa"/>
          </w:tcPr>
          <w:p w14:paraId="0FF2B477" w14:textId="77777777" w:rsidR="005A443F" w:rsidRPr="00BE555F" w:rsidRDefault="005A443F" w:rsidP="006D084E">
            <w:pPr>
              <w:pStyle w:val="TAL"/>
              <w:jc w:val="center"/>
              <w:rPr>
                <w:bCs/>
              </w:rPr>
            </w:pPr>
            <w:r w:rsidRPr="00BE555F">
              <w:rPr>
                <w:bCs/>
              </w:rPr>
              <w:t>No</w:t>
            </w:r>
          </w:p>
        </w:tc>
      </w:tr>
    </w:tbl>
    <w:p w14:paraId="016F0490" w14:textId="77777777" w:rsidR="005A443F" w:rsidRPr="00BE555F" w:rsidRDefault="005A443F" w:rsidP="005A443F"/>
    <w:p w14:paraId="1B0EBD97" w14:textId="77777777" w:rsidR="005A443F" w:rsidRPr="00BE555F" w:rsidRDefault="005A443F" w:rsidP="005A443F">
      <w:pPr>
        <w:pStyle w:val="Heading4"/>
      </w:pPr>
      <w:bookmarkStart w:id="4" w:name="_Toc139146828"/>
      <w:r w:rsidRPr="00BE555F">
        <w:t>4.2.15.10</w:t>
      </w:r>
      <w:r w:rsidRPr="00BE555F">
        <w:tab/>
        <w:t>NRDC 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A443F" w:rsidRPr="00BE555F" w14:paraId="3251A5A3" w14:textId="77777777" w:rsidTr="006D084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C02F4" w14:textId="77777777" w:rsidR="005A443F" w:rsidRPr="00BE555F" w:rsidRDefault="005A443F" w:rsidP="006D084E">
            <w:pPr>
              <w:pStyle w:val="TAH"/>
            </w:pPr>
            <w:bookmarkStart w:id="5" w:name="_Hlk97286055"/>
            <w:r w:rsidRPr="00BE555F"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5A195A" w14:textId="77777777" w:rsidR="005A443F" w:rsidRPr="00BE555F" w:rsidRDefault="005A443F" w:rsidP="006D084E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8B778F" w14:textId="77777777" w:rsidR="005A443F" w:rsidRPr="00BE555F" w:rsidRDefault="005A443F" w:rsidP="006D084E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693A6" w14:textId="77777777" w:rsidR="005A443F" w:rsidRPr="00BE555F" w:rsidRDefault="005A443F" w:rsidP="006D084E">
            <w:pPr>
              <w:pStyle w:val="TAH"/>
            </w:pPr>
            <w:r w:rsidRPr="00BE555F">
              <w:t>FDD-TDD</w:t>
            </w:r>
          </w:p>
          <w:p w14:paraId="2D0B13F5" w14:textId="77777777" w:rsidR="005A443F" w:rsidRPr="00BE555F" w:rsidRDefault="005A443F" w:rsidP="006D084E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0970E1" w14:textId="77777777" w:rsidR="005A443F" w:rsidRPr="00BE555F" w:rsidRDefault="005A443F" w:rsidP="006D084E">
            <w:pPr>
              <w:pStyle w:val="TAH"/>
            </w:pPr>
            <w:r w:rsidRPr="00BE555F">
              <w:t>FR1-FR2</w:t>
            </w:r>
          </w:p>
          <w:p w14:paraId="0E3C172C" w14:textId="77777777" w:rsidR="005A443F" w:rsidRPr="00BE555F" w:rsidRDefault="005A443F" w:rsidP="006D084E">
            <w:pPr>
              <w:pStyle w:val="TAH"/>
            </w:pPr>
            <w:r w:rsidRPr="00BE555F">
              <w:t>DIFF</w:t>
            </w:r>
          </w:p>
        </w:tc>
      </w:tr>
      <w:tr w:rsidR="005A443F" w:rsidRPr="00BE555F" w14:paraId="0CF0BFF5" w14:textId="77777777" w:rsidTr="006D084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C2FF7" w14:textId="77777777" w:rsidR="005A443F" w:rsidRPr="00BE555F" w:rsidRDefault="005A443F" w:rsidP="006D084E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f1c-OverNR-RRC-r17</w:t>
            </w:r>
          </w:p>
          <w:p w14:paraId="62D8D0B9" w14:textId="77777777" w:rsidR="005A443F" w:rsidRPr="00BE555F" w:rsidRDefault="005A443F" w:rsidP="006D084E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IAB-MT supports F1-C signalling over </w:t>
            </w:r>
            <w:proofErr w:type="spellStart"/>
            <w:r w:rsidRPr="00BE555F">
              <w:rPr>
                <w:bCs/>
                <w:iCs/>
              </w:rPr>
              <w:t>DLInformationTransfer</w:t>
            </w:r>
            <w:proofErr w:type="spellEnd"/>
            <w:r w:rsidRPr="00BE555F">
              <w:rPr>
                <w:bCs/>
                <w:iCs/>
              </w:rPr>
              <w:t xml:space="preserve"> and </w:t>
            </w:r>
            <w:proofErr w:type="spellStart"/>
            <w:r w:rsidRPr="00BE555F">
              <w:rPr>
                <w:bCs/>
                <w:iCs/>
              </w:rPr>
              <w:t>ULInformationTransfer</w:t>
            </w:r>
            <w:proofErr w:type="spellEnd"/>
            <w:r w:rsidRPr="00BE555F">
              <w:rPr>
                <w:bCs/>
                <w:iCs/>
              </w:rPr>
              <w:t xml:space="preserve"> messages via MN when IAB-MT operates in NR-DC and MN is the non-F1-termination node or via SN when IAB-MT operates in NR-DC and SN is the non-F1-termination node, as specified in TS 38.401 [33] and TS 37.340 [7].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C39AD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IAB-MT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CD7970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8A47D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B3158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</w:tr>
      <w:bookmarkEnd w:id="5"/>
      <w:tr w:rsidR="005A443F" w:rsidRPr="00BE555F" w14:paraId="5CCEA7D7" w14:textId="77777777" w:rsidTr="006D084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0DC52" w14:textId="77777777" w:rsidR="005A443F" w:rsidRPr="00BE555F" w:rsidRDefault="005A443F" w:rsidP="006D084E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simultaneousRxTx-IAB-MultipleParents-r17</w:t>
            </w:r>
          </w:p>
          <w:p w14:paraId="3B10DFC0" w14:textId="77777777" w:rsidR="005A443F" w:rsidRPr="00BE555F" w:rsidRDefault="005A443F" w:rsidP="006D084E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the support of simultaneous transmission and reception of an IAB-node from multiple parent nodes.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6497CD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05F26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F202E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2435B" w14:textId="77777777" w:rsidR="005A443F" w:rsidRPr="00BE555F" w:rsidRDefault="005A443F" w:rsidP="006D084E">
            <w:pPr>
              <w:pStyle w:val="TAL"/>
              <w:jc w:val="center"/>
            </w:pPr>
            <w:r w:rsidRPr="00BE555F">
              <w:t>No</w:t>
            </w:r>
          </w:p>
        </w:tc>
      </w:tr>
    </w:tbl>
    <w:p w14:paraId="78E113EA" w14:textId="77777777" w:rsidR="005A443F" w:rsidRDefault="005A443F" w:rsidP="007D5657">
      <w:pPr>
        <w:rPr>
          <w:lang w:val="en-GB"/>
        </w:rPr>
      </w:pPr>
    </w:p>
    <w:p w14:paraId="13B079F2" w14:textId="07ACD11F" w:rsidR="00833A9B" w:rsidRPr="00FE2C4C" w:rsidRDefault="00833A9B" w:rsidP="007D5657">
      <w:pPr>
        <w:pStyle w:val="Obs-prop"/>
      </w:pPr>
      <w:r>
        <w:t xml:space="preserve">Proposal </w:t>
      </w:r>
      <w:r w:rsidR="0080643E">
        <w:t>1</w:t>
      </w:r>
      <w:r>
        <w:t xml:space="preserve">: </w:t>
      </w:r>
      <w:r w:rsidR="0042315A">
        <w:t>Introduce “</w:t>
      </w:r>
      <w:r w:rsidR="005A443F" w:rsidRPr="00BE555F">
        <w:rPr>
          <w:i/>
          <w:iCs/>
        </w:rPr>
        <w:t>f1c-OverEUTRA</w:t>
      </w:r>
      <w:r w:rsidR="005A443F">
        <w:rPr>
          <w:i/>
          <w:iCs/>
        </w:rPr>
        <w:t>-r18</w:t>
      </w:r>
      <w:r w:rsidR="0042315A">
        <w:t>”</w:t>
      </w:r>
      <w:r w:rsidR="005A443F">
        <w:t>, “</w:t>
      </w:r>
      <w:r w:rsidR="005A443F" w:rsidRPr="00BE555F">
        <w:rPr>
          <w:i/>
          <w:iCs/>
        </w:rPr>
        <w:t>scg-DRB-NR-IAB</w:t>
      </w:r>
      <w:r w:rsidR="005A443F">
        <w:rPr>
          <w:i/>
          <w:iCs/>
        </w:rPr>
        <w:t>-r18</w:t>
      </w:r>
      <w:r w:rsidR="005A443F">
        <w:t>”</w:t>
      </w:r>
      <w:r w:rsidR="006A3DBC">
        <w:t>, “</w:t>
      </w:r>
      <w:r w:rsidR="006A3DBC" w:rsidRPr="00605D85">
        <w:rPr>
          <w:i/>
          <w:iCs/>
        </w:rPr>
        <w:t>interNR-MeasEUTRA-IAB-r1</w:t>
      </w:r>
      <w:r w:rsidR="006A3DBC">
        <w:rPr>
          <w:i/>
          <w:iCs/>
        </w:rPr>
        <w:t>8</w:t>
      </w:r>
      <w:r w:rsidR="006A3DBC">
        <w:t>”, “</w:t>
      </w:r>
      <w:r w:rsidR="006A3DBC" w:rsidRPr="00BE555F">
        <w:rPr>
          <w:i/>
        </w:rPr>
        <w:t>f1c-OverNR-RRC-r1</w:t>
      </w:r>
      <w:r w:rsidR="006A3DBC">
        <w:rPr>
          <w:i/>
        </w:rPr>
        <w:t>8</w:t>
      </w:r>
      <w:r w:rsidR="006A3DBC">
        <w:t>”, and “</w:t>
      </w:r>
      <w:r w:rsidR="006A3DBC" w:rsidRPr="00605D85">
        <w:rPr>
          <w:i/>
          <w:iCs/>
        </w:rPr>
        <w:t>simultaneousRxTx-IAB-MultipleParents-r1</w:t>
      </w:r>
      <w:r w:rsidR="006A3DBC">
        <w:rPr>
          <w:i/>
          <w:iCs/>
        </w:rPr>
        <w:t>8</w:t>
      </w:r>
      <w:r w:rsidR="006A3DBC">
        <w:t xml:space="preserve">” </w:t>
      </w:r>
      <w:r w:rsidR="005A2A93">
        <w:t>as</w:t>
      </w:r>
      <w:r w:rsidR="006A3DBC">
        <w:t xml:space="preserve"> Rel-18 mobile IAB-MT </w:t>
      </w:r>
      <w:r w:rsidR="005A2A93">
        <w:t>DC capabilities.</w:t>
      </w:r>
    </w:p>
    <w:p w14:paraId="1065E536" w14:textId="65DD85BC" w:rsidR="00566499" w:rsidRDefault="00E12820" w:rsidP="00E12820">
      <w:pPr>
        <w:pStyle w:val="Heading2"/>
      </w:pPr>
      <w:r>
        <w:t xml:space="preserve">Separate </w:t>
      </w:r>
      <w:r w:rsidR="00AA1F2B">
        <w:t>mobile IAB-MT capability</w:t>
      </w:r>
    </w:p>
    <w:p w14:paraId="46176894" w14:textId="089EAE97" w:rsidR="00AA1F2B" w:rsidRDefault="00324438" w:rsidP="00AA1F2B">
      <w:pPr>
        <w:rPr>
          <w:lang w:val="en-GB"/>
        </w:rPr>
      </w:pPr>
      <w:r>
        <w:rPr>
          <w:lang w:val="en-GB"/>
        </w:rPr>
        <w:t>It was agreed during RAN2 #</w:t>
      </w:r>
      <w:r w:rsidR="00FD0C0F">
        <w:rPr>
          <w:lang w:val="en-GB"/>
        </w:rPr>
        <w:t>119bis-e meeting</w:t>
      </w:r>
      <w:r w:rsidR="00C5687B">
        <w:rPr>
          <w:lang w:val="en-GB"/>
        </w:rPr>
        <w:t xml:space="preserve"> that </w:t>
      </w:r>
      <w:r w:rsidR="007E78EB">
        <w:rPr>
          <w:lang w:val="en-GB"/>
        </w:rPr>
        <w:t>a UE capability will be introduced for mobile IAB-node.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78EB" w14:paraId="4E771475" w14:textId="77777777" w:rsidTr="007E78EB">
        <w:tc>
          <w:tcPr>
            <w:tcW w:w="9350" w:type="dxa"/>
          </w:tcPr>
          <w:p w14:paraId="38DB41C6" w14:textId="131922EF" w:rsidR="007E78EB" w:rsidRPr="007E78EB" w:rsidRDefault="007E78EB" w:rsidP="00AA1F2B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124A53">
              <w:t xml:space="preserve">UE capability </w:t>
            </w:r>
            <w:proofErr w:type="spellStart"/>
            <w:r w:rsidRPr="00124A53">
              <w:t>signalling</w:t>
            </w:r>
            <w:proofErr w:type="spellEnd"/>
            <w:r w:rsidRPr="00124A53">
              <w:t xml:space="preserve"> is the baseline to let CU know that the MT is a “mobile-IAB” type. FFS </w:t>
            </w:r>
            <w:r>
              <w:t xml:space="preserve">early </w:t>
            </w:r>
            <w:r w:rsidRPr="00124A53">
              <w:t>mobile-IAB indication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124A53">
              <w:t>in Msg5.</w:t>
            </w:r>
          </w:p>
        </w:tc>
      </w:tr>
    </w:tbl>
    <w:p w14:paraId="7ECEF3A2" w14:textId="3CEBE76E" w:rsidR="00560D6C" w:rsidRDefault="003B18FE" w:rsidP="00AA1F2B">
      <w:pPr>
        <w:rPr>
          <w:lang w:val="en-GB"/>
        </w:rPr>
      </w:pPr>
      <w:r>
        <w:rPr>
          <w:lang w:val="en-GB"/>
        </w:rPr>
        <w:lastRenderedPageBreak/>
        <w:t>During post email discussion</w:t>
      </w:r>
      <w:r w:rsidR="000C6D5F">
        <w:rPr>
          <w:lang w:val="en-GB"/>
        </w:rPr>
        <w:t xml:space="preserve">, some companies </w:t>
      </w:r>
      <w:r w:rsidR="00560D6C">
        <w:rPr>
          <w:lang w:val="en-GB"/>
        </w:rPr>
        <w:t>explained that there’s no need to introduce a UE capability since we agreed an early indication in MSG5. In our understanding, separate mobile IAB-MT capability has different purpose of early mobile IAB indication in MSG5</w:t>
      </w:r>
      <w:r w:rsidR="006C6188">
        <w:rPr>
          <w:lang w:val="en-GB"/>
        </w:rPr>
        <w:t xml:space="preserve">, which was introduced to serve the purpose of selecting a mobile IAB capable AMF. UE capability, on the other hand, </w:t>
      </w:r>
      <w:r w:rsidR="00244B96">
        <w:rPr>
          <w:lang w:val="en-GB"/>
        </w:rPr>
        <w:t xml:space="preserve">is used to indicate whether such IAB-MT device is capable of </w:t>
      </w:r>
      <w:r w:rsidR="00CB4D4D">
        <w:rPr>
          <w:lang w:val="en-GB"/>
        </w:rPr>
        <w:t xml:space="preserve">processing mobile IAB functionalities, </w:t>
      </w:r>
      <w:proofErr w:type="gramStart"/>
      <w:r w:rsidR="00CB4D4D">
        <w:rPr>
          <w:lang w:val="en-GB"/>
        </w:rPr>
        <w:t>e.g.</w:t>
      </w:r>
      <w:proofErr w:type="gramEnd"/>
      <w:r w:rsidR="00CB4D4D">
        <w:rPr>
          <w:lang w:val="en-GB"/>
        </w:rPr>
        <w:t xml:space="preserve"> DU migration, </w:t>
      </w:r>
      <w:r w:rsidR="002D1A0F">
        <w:rPr>
          <w:lang w:val="en-GB"/>
        </w:rPr>
        <w:t>not supporting DC</w:t>
      </w:r>
      <w:r w:rsidR="00066943">
        <w:rPr>
          <w:lang w:val="en-GB"/>
        </w:rPr>
        <w:t>, no descendent node</w:t>
      </w:r>
      <w:r w:rsidR="002D1A0F">
        <w:rPr>
          <w:lang w:val="en-GB"/>
        </w:rPr>
        <w:t xml:space="preserve">, </w:t>
      </w:r>
      <w:r w:rsidR="00CB4D4D">
        <w:rPr>
          <w:lang w:val="en-GB"/>
        </w:rPr>
        <w:t>etc.</w:t>
      </w:r>
    </w:p>
    <w:p w14:paraId="2E52888C" w14:textId="0EF392CC" w:rsidR="003F5214" w:rsidRDefault="003F5214" w:rsidP="003F5214">
      <w:pPr>
        <w:pStyle w:val="Obs-prop"/>
      </w:pPr>
      <w:r>
        <w:t xml:space="preserve">Observation </w:t>
      </w:r>
      <w:r w:rsidR="0080643E">
        <w:t>2</w:t>
      </w:r>
      <w:r>
        <w:t xml:space="preserve">: </w:t>
      </w:r>
      <w:r w:rsidR="00B660E7">
        <w:t xml:space="preserve">Mobile IAB capability serves different purpose from early indication in MSG5. </w:t>
      </w:r>
      <w:r>
        <w:t>Mobile IAB indication in MSG5 is used to indicate whether a MBSR node is intended to operate as a MBSR during topology integration.</w:t>
      </w:r>
      <w:r w:rsidR="007A7F7D">
        <w:t xml:space="preserve"> UE capability is used to indicate whether mobile IAB device is capable of processing mobile IAB </w:t>
      </w:r>
      <w:r w:rsidR="00453C11">
        <w:t>functionalities</w:t>
      </w:r>
      <w:r w:rsidR="007A7F7D">
        <w:t>.</w:t>
      </w:r>
    </w:p>
    <w:p w14:paraId="59541786" w14:textId="6EDBF355" w:rsidR="00FE4DD7" w:rsidRDefault="00F6328A" w:rsidP="00F6328A">
      <w:pPr>
        <w:rPr>
          <w:lang w:val="en-GB"/>
        </w:rPr>
      </w:pPr>
      <w:r>
        <w:rPr>
          <w:lang w:val="en-GB"/>
        </w:rPr>
        <w:t>Furthermore, it is observed that RAN2 received a LS R3-235919 [1] from RAN3 that the mIAB-MT should be able to decode</w:t>
      </w:r>
      <w:r w:rsidR="00FE4DD7">
        <w:rPr>
          <w:lang w:val="en-GB"/>
        </w:rPr>
        <w:t xml:space="preserve"> </w:t>
      </w:r>
      <w:proofErr w:type="spellStart"/>
      <w:r w:rsidR="00FE4DD7">
        <w:rPr>
          <w:lang w:val="en-GB"/>
        </w:rPr>
        <w:t>gNB</w:t>
      </w:r>
      <w:proofErr w:type="spellEnd"/>
      <w:r w:rsidR="00FE4DD7">
        <w:rPr>
          <w:lang w:val="en-GB"/>
        </w:rPr>
        <w:t>-ID-Length in SIB1 of</w:t>
      </w:r>
      <w:r>
        <w:rPr>
          <w:lang w:val="en-GB"/>
        </w:rPr>
        <w:t xml:space="preserve"> </w:t>
      </w:r>
      <w:r w:rsidR="00FE4DD7">
        <w:rPr>
          <w:lang w:val="en-GB"/>
        </w:rPr>
        <w:t>the parent cell broadcasting mIAB support.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4DD7" w14:paraId="2BFA160C" w14:textId="77777777" w:rsidTr="00FE4DD7">
        <w:tc>
          <w:tcPr>
            <w:tcW w:w="9350" w:type="dxa"/>
          </w:tcPr>
          <w:p w14:paraId="7D6522EF" w14:textId="77E22CB5" w:rsidR="00FE4DD7" w:rsidRPr="00F4324B" w:rsidRDefault="00F4324B" w:rsidP="00F6328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RAN3 assumes that the parent cell supporting mobile IAB access should always broadcast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-ID-Length in SIB1, and the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bCs/>
              </w:rPr>
              <w:t>-MT should be able to decode this information.</w:t>
            </w:r>
          </w:p>
        </w:tc>
      </w:tr>
    </w:tbl>
    <w:p w14:paraId="766A20E9" w14:textId="1B41559F" w:rsidR="00F6328A" w:rsidRDefault="00BD1305" w:rsidP="00F6328A">
      <w:pPr>
        <w:rPr>
          <w:lang w:val="en-GB"/>
        </w:rPr>
      </w:pPr>
      <w:r>
        <w:rPr>
          <w:lang w:val="en-GB"/>
        </w:rPr>
        <w:t xml:space="preserve">Therefore, a </w:t>
      </w:r>
      <w:r w:rsidR="004F772A">
        <w:rPr>
          <w:lang w:val="en-GB"/>
        </w:rPr>
        <w:t>mandatory</w:t>
      </w:r>
      <w:r>
        <w:rPr>
          <w:lang w:val="en-GB"/>
        </w:rPr>
        <w:t xml:space="preserve"> </w:t>
      </w:r>
      <w:r w:rsidR="004F772A">
        <w:rPr>
          <w:lang w:val="en-GB"/>
        </w:rPr>
        <w:t>capability should be introduced t</w:t>
      </w:r>
      <w:r w:rsidR="00050873">
        <w:rPr>
          <w:lang w:val="en-GB"/>
        </w:rPr>
        <w:t xml:space="preserve">o </w:t>
      </w:r>
      <w:proofErr w:type="spellStart"/>
      <w:r w:rsidR="00050873">
        <w:rPr>
          <w:lang w:val="en-GB"/>
        </w:rPr>
        <w:t>mIAB</w:t>
      </w:r>
      <w:proofErr w:type="spellEnd"/>
      <w:r w:rsidR="00050873">
        <w:rPr>
          <w:lang w:val="en-GB"/>
        </w:rPr>
        <w:t xml:space="preserve">-MT for decoding </w:t>
      </w:r>
      <w:proofErr w:type="spellStart"/>
      <w:r w:rsidR="00050873">
        <w:rPr>
          <w:lang w:val="en-GB"/>
        </w:rPr>
        <w:t>gNB</w:t>
      </w:r>
      <w:proofErr w:type="spellEnd"/>
      <w:r w:rsidR="00050873">
        <w:rPr>
          <w:lang w:val="en-GB"/>
        </w:rPr>
        <w:t xml:space="preserve">-ID-Length. </w:t>
      </w:r>
      <w:r w:rsidR="00E96380">
        <w:rPr>
          <w:lang w:val="en-GB"/>
        </w:rPr>
        <w:t>If a separate mobile IAB-capability is introduced, this capability bit</w:t>
      </w:r>
      <w:r w:rsidR="00F6539E">
        <w:rPr>
          <w:lang w:val="en-GB"/>
        </w:rPr>
        <w:t xml:space="preserve"> can also be used to </w:t>
      </w:r>
      <w:r w:rsidR="00AA0E03">
        <w:rPr>
          <w:lang w:val="en-GB"/>
        </w:rPr>
        <w:t xml:space="preserve">indicate </w:t>
      </w:r>
      <w:r w:rsidR="00E96380">
        <w:rPr>
          <w:lang w:val="en-GB"/>
        </w:rPr>
        <w:t xml:space="preserve">this decoding capability, as </w:t>
      </w:r>
      <w:r w:rsidR="00E5115C">
        <w:rPr>
          <w:lang w:val="en-GB"/>
        </w:rPr>
        <w:t xml:space="preserve">mandatory with </w:t>
      </w:r>
      <w:proofErr w:type="spellStart"/>
      <w:r w:rsidR="00E5115C">
        <w:rPr>
          <w:lang w:val="en-GB"/>
        </w:rPr>
        <w:t>signaling</w:t>
      </w:r>
      <w:proofErr w:type="spellEnd"/>
      <w:r w:rsidR="00E5115C">
        <w:rPr>
          <w:lang w:val="en-GB"/>
        </w:rPr>
        <w:t xml:space="preserve"> for mobile IAB-MT</w:t>
      </w:r>
      <w:r w:rsidR="00AA0E03">
        <w:rPr>
          <w:lang w:val="en-GB"/>
        </w:rPr>
        <w:t>.</w:t>
      </w:r>
    </w:p>
    <w:p w14:paraId="283FE6C5" w14:textId="628CC55C" w:rsidR="00AA0E03" w:rsidRPr="00166F89" w:rsidRDefault="00AA0E03" w:rsidP="00AA0E03">
      <w:pPr>
        <w:pStyle w:val="Obs-prop"/>
      </w:pPr>
      <w:r>
        <w:t xml:space="preserve">Observation </w:t>
      </w:r>
      <w:r w:rsidR="0080643E">
        <w:t>3</w:t>
      </w:r>
      <w:r>
        <w:t xml:space="preserve">: </w:t>
      </w:r>
      <w:r w:rsidR="00E5115C">
        <w:t xml:space="preserve">As required by RAN3, </w:t>
      </w:r>
      <w:r>
        <w:t xml:space="preserve">decoding </w:t>
      </w:r>
      <w:proofErr w:type="spellStart"/>
      <w:r>
        <w:t>gNB</w:t>
      </w:r>
      <w:proofErr w:type="spellEnd"/>
      <w:r>
        <w:t>-ID-Length in SIB1</w:t>
      </w:r>
      <w:r w:rsidR="00E5115C">
        <w:t xml:space="preserve"> is a mandatory capability</w:t>
      </w:r>
      <w:r w:rsidR="00DA507B">
        <w:t xml:space="preserve"> should be supported by mobile IAB-MT</w:t>
      </w:r>
      <w:r>
        <w:t>.</w:t>
      </w:r>
      <w:r w:rsidR="00DA507B">
        <w:t xml:space="preserve"> It can be covered by this new separate mobile IAB capability.</w:t>
      </w:r>
    </w:p>
    <w:p w14:paraId="55141678" w14:textId="319A3841" w:rsidR="00C73FE0" w:rsidRDefault="009F7C9A" w:rsidP="00C73FE0">
      <w:pPr>
        <w:pStyle w:val="Obs-prop"/>
      </w:pPr>
      <w:r>
        <w:t xml:space="preserve">Proposal </w:t>
      </w:r>
      <w:r w:rsidR="0080643E">
        <w:t>2</w:t>
      </w:r>
      <w:r>
        <w:t xml:space="preserve">: </w:t>
      </w:r>
      <w:r w:rsidR="00C678A3">
        <w:t xml:space="preserve">RAN2 confirms </w:t>
      </w:r>
      <w:r w:rsidR="00965B15">
        <w:t>to introduce a separate mobile IAB capability</w:t>
      </w:r>
      <w:r w:rsidR="00C73FE0">
        <w:t xml:space="preserve">. </w:t>
      </w:r>
    </w:p>
    <w:p w14:paraId="101C157D" w14:textId="6ADDBEEA" w:rsidR="00AA1F2B" w:rsidRDefault="00B05256" w:rsidP="00AA1F2B">
      <w:pPr>
        <w:pStyle w:val="Heading2"/>
      </w:pPr>
      <w:r>
        <w:t>RACH-less HO capability</w:t>
      </w:r>
    </w:p>
    <w:p w14:paraId="79E4ED3A" w14:textId="1FB94832" w:rsidR="00B05256" w:rsidRDefault="00EF55B2" w:rsidP="00B05256">
      <w:pPr>
        <w:rPr>
          <w:lang w:val="en-GB"/>
        </w:rPr>
      </w:pPr>
      <w:r>
        <w:rPr>
          <w:lang w:val="en-GB"/>
        </w:rPr>
        <w:t xml:space="preserve">RACH-less HO is introduced in Rel-18 by NTN </w:t>
      </w:r>
      <w:r w:rsidR="00877333">
        <w:rPr>
          <w:lang w:val="en-GB"/>
        </w:rPr>
        <w:t xml:space="preserve">and mobile IAB. </w:t>
      </w:r>
      <w:r w:rsidR="00BA3823">
        <w:rPr>
          <w:lang w:val="en-GB"/>
        </w:rPr>
        <w:t xml:space="preserve">How much commonality </w:t>
      </w:r>
      <w:r w:rsidR="00BA32D9">
        <w:rPr>
          <w:lang w:val="en-GB"/>
        </w:rPr>
        <w:t xml:space="preserve">in procedure </w:t>
      </w:r>
      <w:r w:rsidR="007F00BA">
        <w:rPr>
          <w:lang w:val="en-GB"/>
        </w:rPr>
        <w:t xml:space="preserve">between NTN RACH-less HO and mobile IAB RACH-less HO will be discussed and reviewed at RAN2 #123bis meeting. </w:t>
      </w:r>
    </w:p>
    <w:p w14:paraId="5E034E46" w14:textId="532C12C5" w:rsidR="00EE5D4B" w:rsidRDefault="00AD73F8" w:rsidP="00EE5D4B">
      <w:pPr>
        <w:rPr>
          <w:lang w:val="en-GB"/>
        </w:rPr>
      </w:pPr>
      <w:r>
        <w:rPr>
          <w:lang w:val="en-GB"/>
        </w:rPr>
        <w:t xml:space="preserve">From UE capability point of view, though most procedures </w:t>
      </w:r>
      <w:r w:rsidR="00B4626F">
        <w:rPr>
          <w:lang w:val="en-GB"/>
        </w:rPr>
        <w:t>may</w:t>
      </w:r>
      <w:r>
        <w:rPr>
          <w:lang w:val="en-GB"/>
        </w:rPr>
        <w:t xml:space="preserve"> be common between NTN RACH-less HO and mobile IAB RACH-less HO</w:t>
      </w:r>
      <w:r w:rsidR="00B4626F">
        <w:rPr>
          <w:lang w:val="en-GB"/>
        </w:rPr>
        <w:t>, we believe it is still beneficial to introduce separate UE capabilit</w:t>
      </w:r>
      <w:r w:rsidR="006160B6">
        <w:rPr>
          <w:lang w:val="en-GB"/>
        </w:rPr>
        <w:t>ies for NTN RACH-less HO and mobile IAB RACH-less HO</w:t>
      </w:r>
      <w:r w:rsidR="00537A8E">
        <w:rPr>
          <w:lang w:val="en-GB"/>
        </w:rPr>
        <w:t xml:space="preserve"> due to following reasons:</w:t>
      </w:r>
    </w:p>
    <w:p w14:paraId="2C8DC6F2" w14:textId="77777777" w:rsidR="00635ECC" w:rsidRDefault="00537A8E" w:rsidP="00EE5D4B">
      <w:pPr>
        <w:rPr>
          <w:lang w:val="en-GB"/>
        </w:rPr>
      </w:pPr>
      <w:r>
        <w:rPr>
          <w:lang w:val="en-GB"/>
        </w:rPr>
        <w:t xml:space="preserve">1. </w:t>
      </w:r>
      <w:r w:rsidR="001F64E3">
        <w:rPr>
          <w:lang w:val="en-GB"/>
        </w:rPr>
        <w:t xml:space="preserve">NTN RACH-less HO and mobile IAB RACH-less HO </w:t>
      </w:r>
      <w:r w:rsidR="001F64E3" w:rsidRPr="001F64E3">
        <w:rPr>
          <w:lang w:val="en-GB"/>
        </w:rPr>
        <w:t>are triggered for different purposes.</w:t>
      </w:r>
      <w:r w:rsidR="001F64E3">
        <w:rPr>
          <w:lang w:val="en-GB"/>
        </w:rPr>
        <w:t xml:space="preserve"> </w:t>
      </w:r>
    </w:p>
    <w:p w14:paraId="08B2CA21" w14:textId="6A98624A" w:rsidR="00537A8E" w:rsidRDefault="001F64E3" w:rsidP="00EE5D4B">
      <w:pPr>
        <w:rPr>
          <w:lang w:eastAsia="zh-CN"/>
        </w:rPr>
      </w:pPr>
      <w:r>
        <w:rPr>
          <w:lang w:val="en-GB"/>
        </w:rPr>
        <w:t xml:space="preserve">For </w:t>
      </w:r>
      <w:r w:rsidR="009D796D">
        <w:rPr>
          <w:lang w:val="en-GB"/>
        </w:rPr>
        <w:t xml:space="preserve">NR </w:t>
      </w:r>
      <w:r>
        <w:rPr>
          <w:lang w:val="en-GB"/>
        </w:rPr>
        <w:t xml:space="preserve">NTN, </w:t>
      </w:r>
      <w:r w:rsidR="009D796D">
        <w:rPr>
          <w:lang w:eastAsia="zh-CN"/>
        </w:rPr>
        <w:t xml:space="preserve">RACH-less HO may be helpful when the group of UEs perform intra and inter satellite handover, where RACH congestion and delay can be avoided. For </w:t>
      </w:r>
      <w:proofErr w:type="spellStart"/>
      <w:r w:rsidR="009D796D">
        <w:rPr>
          <w:lang w:eastAsia="zh-CN"/>
        </w:rPr>
        <w:t>mIAB</w:t>
      </w:r>
      <w:proofErr w:type="spellEnd"/>
      <w:r w:rsidR="009D796D">
        <w:rPr>
          <w:lang w:eastAsia="zh-CN"/>
        </w:rPr>
        <w:t>, based on the assumption of two logical D</w:t>
      </w:r>
      <w:r w:rsidR="00AC17A7">
        <w:rPr>
          <w:lang w:eastAsia="zh-CN"/>
        </w:rPr>
        <w:t>u</w:t>
      </w:r>
      <w:r w:rsidR="009D796D">
        <w:rPr>
          <w:lang w:eastAsia="zh-CN"/>
        </w:rPr>
        <w:t>s</w:t>
      </w:r>
      <w:r w:rsidR="00AC17A7">
        <w:rPr>
          <w:lang w:eastAsia="zh-CN"/>
        </w:rPr>
        <w:t xml:space="preserve">, RACH-less HO could be beneficial to reduce the number of signaling for mobile IAB served UEs. </w:t>
      </w:r>
      <w:r w:rsidR="00BA68F5">
        <w:rPr>
          <w:lang w:eastAsia="zh-CN"/>
        </w:rPr>
        <w:t xml:space="preserve">Indicating UE capability for different purposes with separate bits is </w:t>
      </w:r>
      <w:r w:rsidR="00C64C74">
        <w:rPr>
          <w:lang w:eastAsia="zh-CN"/>
        </w:rPr>
        <w:t>clear.</w:t>
      </w:r>
    </w:p>
    <w:p w14:paraId="47AF0E11" w14:textId="6CF960D8" w:rsidR="00A408DD" w:rsidRDefault="00A408DD" w:rsidP="00EE5D4B">
      <w:pPr>
        <w:rPr>
          <w:lang w:eastAsia="zh-CN"/>
        </w:rPr>
      </w:pPr>
      <w:r>
        <w:rPr>
          <w:lang w:eastAsia="zh-CN"/>
        </w:rPr>
        <w:t xml:space="preserve">2. </w:t>
      </w:r>
      <w:r w:rsidR="00AF49E0">
        <w:rPr>
          <w:lang w:eastAsia="zh-CN"/>
        </w:rPr>
        <w:t>S</w:t>
      </w:r>
      <w:r w:rsidR="00B510DC">
        <w:rPr>
          <w:lang w:eastAsia="zh-CN"/>
        </w:rPr>
        <w:t>erve better for IOT</w:t>
      </w:r>
    </w:p>
    <w:p w14:paraId="46D453D4" w14:textId="5C387DE8" w:rsidR="00B510DC" w:rsidRDefault="00B510DC" w:rsidP="00EE5D4B">
      <w:pPr>
        <w:rPr>
          <w:lang w:val="en-GB"/>
        </w:rPr>
      </w:pPr>
      <w:r>
        <w:rPr>
          <w:lang w:eastAsia="zh-CN"/>
        </w:rPr>
        <w:t xml:space="preserve">It is more friendly for the network by using </w:t>
      </w:r>
      <w:r w:rsidR="00AF49E0">
        <w:rPr>
          <w:lang w:eastAsia="zh-CN"/>
        </w:rPr>
        <w:t xml:space="preserve">different bits for </w:t>
      </w:r>
      <w:r w:rsidR="00AF49E0">
        <w:rPr>
          <w:lang w:val="en-GB"/>
        </w:rPr>
        <w:t xml:space="preserve">NTN RACH-less HO and mobile IAB RACH-less HO, since the network can distinguish two </w:t>
      </w:r>
      <w:proofErr w:type="gramStart"/>
      <w:r w:rsidR="00AF49E0">
        <w:rPr>
          <w:lang w:val="en-GB"/>
        </w:rPr>
        <w:t>functionality</w:t>
      </w:r>
      <w:proofErr w:type="gramEnd"/>
      <w:r w:rsidR="00AF49E0">
        <w:rPr>
          <w:lang w:val="en-GB"/>
        </w:rPr>
        <w:t xml:space="preserve"> testing clearly.</w:t>
      </w:r>
    </w:p>
    <w:p w14:paraId="70ED0E76" w14:textId="5F8A6513" w:rsidR="00AF49E0" w:rsidRPr="00EE5D4B" w:rsidRDefault="00AF49E0" w:rsidP="00231F59">
      <w:pPr>
        <w:pStyle w:val="Obs-prop"/>
      </w:pPr>
      <w:r>
        <w:t xml:space="preserve">Proposal </w:t>
      </w:r>
      <w:r w:rsidR="0080643E">
        <w:t>3</w:t>
      </w:r>
      <w:r>
        <w:t>: Introduce a UE capability bit for mobile IAB RACH-less HO, separate from NTN RACH-less HO.</w:t>
      </w:r>
    </w:p>
    <w:p w14:paraId="291F6020" w14:textId="24ACEAC0" w:rsidR="00E54536" w:rsidRDefault="00B05256" w:rsidP="00BB56F4">
      <w:pPr>
        <w:pStyle w:val="Heading2"/>
      </w:pPr>
      <w:r>
        <w:t>Cell reselection capability</w:t>
      </w:r>
    </w:p>
    <w:p w14:paraId="1AD97C55" w14:textId="4FBC3544" w:rsidR="00BB56F4" w:rsidRDefault="007D2AF6" w:rsidP="00BB56F4">
      <w:pPr>
        <w:rPr>
          <w:lang w:val="en-GB"/>
        </w:rPr>
      </w:pPr>
      <w:r>
        <w:rPr>
          <w:lang w:val="en-GB"/>
        </w:rPr>
        <w:t>Whether to introduce a new o</w:t>
      </w:r>
      <w:r w:rsidR="00E4600B">
        <w:rPr>
          <w:lang w:val="en-GB"/>
        </w:rPr>
        <w:t xml:space="preserve">ptional feature without UE capability </w:t>
      </w:r>
      <w:r>
        <w:rPr>
          <w:lang w:val="en-GB"/>
        </w:rPr>
        <w:t xml:space="preserve">was discussed during </w:t>
      </w:r>
      <w:r w:rsidRPr="003802AC">
        <w:rPr>
          <w:lang w:val="en-GB"/>
        </w:rPr>
        <w:t>[Post123][</w:t>
      </w:r>
      <w:proofErr w:type="gramStart"/>
      <w:r w:rsidRPr="003802AC">
        <w:rPr>
          <w:lang w:val="en-GB"/>
        </w:rPr>
        <w:t>051][</w:t>
      </w:r>
      <w:proofErr w:type="gramEnd"/>
      <w:r w:rsidRPr="003802AC">
        <w:rPr>
          <w:lang w:val="en-GB"/>
        </w:rPr>
        <w:t>mIAB] Running CRs UE caps (Nokia)</w:t>
      </w:r>
      <w:r>
        <w:rPr>
          <w:lang w:val="en-GB"/>
        </w:rPr>
        <w:t>. Some companies seem to think there’s no need to introduce a new optional feature without UE capability</w:t>
      </w:r>
      <w:r w:rsidR="00985B05">
        <w:rPr>
          <w:lang w:val="en-GB"/>
        </w:rPr>
        <w:t>,</w:t>
      </w:r>
      <w:r>
        <w:rPr>
          <w:lang w:val="en-GB"/>
        </w:rPr>
        <w:t xml:space="preserve"> </w:t>
      </w:r>
      <w:r w:rsidR="0091709B">
        <w:rPr>
          <w:lang w:val="en-GB"/>
        </w:rPr>
        <w:t xml:space="preserve">since the UE is not </w:t>
      </w:r>
      <w:r w:rsidR="00985B05">
        <w:rPr>
          <w:lang w:val="en-GB"/>
        </w:rPr>
        <w:t>mandated</w:t>
      </w:r>
      <w:r w:rsidR="0091709B">
        <w:rPr>
          <w:lang w:val="en-GB"/>
        </w:rPr>
        <w:t xml:space="preserve"> to perform mobile IAB frequency prioritization</w:t>
      </w:r>
      <w:r w:rsidR="00985B05">
        <w:rPr>
          <w:lang w:val="en-GB"/>
        </w:rPr>
        <w:t>, which is different from HSDN.</w:t>
      </w:r>
    </w:p>
    <w:p w14:paraId="31F49A41" w14:textId="45F46C25" w:rsidR="00985B05" w:rsidRDefault="00985B05" w:rsidP="00BB56F4">
      <w:pPr>
        <w:rPr>
          <w:lang w:val="en-GB"/>
        </w:rPr>
      </w:pPr>
      <w:r>
        <w:rPr>
          <w:lang w:val="en-GB"/>
        </w:rPr>
        <w:lastRenderedPageBreak/>
        <w:t xml:space="preserve">However, </w:t>
      </w:r>
      <w:r w:rsidR="007B556F">
        <w:rPr>
          <w:lang w:val="en-GB"/>
        </w:rPr>
        <w:t xml:space="preserve">though </w:t>
      </w:r>
      <w:r w:rsidR="00CA74AC">
        <w:rPr>
          <w:lang w:val="en-GB"/>
        </w:rPr>
        <w:t>the frequency prioritization is optional for a UE</w:t>
      </w:r>
      <w:r w:rsidR="007B556F">
        <w:rPr>
          <w:lang w:val="en-GB"/>
        </w:rPr>
        <w:t xml:space="preserve">, </w:t>
      </w:r>
      <w:r w:rsidR="00AF4AF0">
        <w:rPr>
          <w:lang w:val="en-GB"/>
        </w:rPr>
        <w:t xml:space="preserve">UE </w:t>
      </w:r>
      <w:proofErr w:type="spellStart"/>
      <w:r w:rsidR="00AF4AF0">
        <w:rPr>
          <w:lang w:val="en-GB"/>
        </w:rPr>
        <w:t>behavior</w:t>
      </w:r>
      <w:proofErr w:type="spellEnd"/>
      <w:r w:rsidR="00AF4AF0">
        <w:rPr>
          <w:lang w:val="en-GB"/>
        </w:rPr>
        <w:t xml:space="preserve"> is still </w:t>
      </w:r>
      <w:proofErr w:type="gramStart"/>
      <w:r w:rsidR="00AF4AF0">
        <w:rPr>
          <w:lang w:val="en-GB"/>
        </w:rPr>
        <w:t>specified</w:t>
      </w:r>
      <w:proofErr w:type="gramEnd"/>
      <w:r w:rsidR="00AF4AF0">
        <w:rPr>
          <w:lang w:val="en-GB"/>
        </w:rPr>
        <w:t xml:space="preserve"> and it is still beneficial for the network to know whether the UE is capable of performing mobile IAB frequency prioritization</w:t>
      </w:r>
      <w:r w:rsidR="00CA74AC">
        <w:rPr>
          <w:lang w:val="en-GB"/>
        </w:rPr>
        <w:t>.</w:t>
      </w:r>
    </w:p>
    <w:p w14:paraId="00BED7FD" w14:textId="642B1408" w:rsidR="00441DCD" w:rsidRDefault="00441DCD" w:rsidP="00BB56F4">
      <w:pPr>
        <w:rPr>
          <w:lang w:val="en-GB"/>
        </w:rPr>
      </w:pPr>
      <w:r>
        <w:rPr>
          <w:lang w:val="en-GB"/>
        </w:rPr>
        <w:t xml:space="preserve">Furthermore, we also observe there’s also other </w:t>
      </w:r>
      <w:r w:rsidR="00012881">
        <w:rPr>
          <w:lang w:val="en-GB"/>
        </w:rPr>
        <w:t xml:space="preserve">optional feature without UE capability </w:t>
      </w:r>
      <w:r w:rsidR="00FF2758">
        <w:rPr>
          <w:lang w:val="en-GB"/>
        </w:rPr>
        <w:t xml:space="preserve">using “may” when describing UE </w:t>
      </w:r>
      <w:proofErr w:type="spellStart"/>
      <w:r w:rsidR="00FF2758">
        <w:rPr>
          <w:lang w:val="en-GB"/>
        </w:rPr>
        <w:t>behavior</w:t>
      </w:r>
      <w:proofErr w:type="spellEnd"/>
      <w:r w:rsidR="00FF2758">
        <w:rPr>
          <w:lang w:val="en-GB"/>
        </w:rPr>
        <w:t xml:space="preserve">, for example, </w:t>
      </w:r>
      <w:r w:rsidR="00EB572F">
        <w:rPr>
          <w:lang w:val="en-GB"/>
        </w:rPr>
        <w:t>relaxed measurement</w:t>
      </w:r>
      <w:r w:rsidR="00917BE7">
        <w:rPr>
          <w:lang w:val="en-GB"/>
        </w:rPr>
        <w:t>.</w:t>
      </w:r>
      <w:r w:rsidR="00EC411F">
        <w:rPr>
          <w:lang w:val="en-GB"/>
        </w:rPr>
        <w:t xml:space="preserve"> </w:t>
      </w:r>
      <w:r w:rsidR="005E4F8D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572F" w14:paraId="2BAA5B79" w14:textId="77777777" w:rsidTr="00EB572F">
        <w:tc>
          <w:tcPr>
            <w:tcW w:w="9350" w:type="dxa"/>
          </w:tcPr>
          <w:p w14:paraId="742E5A5C" w14:textId="77777777" w:rsidR="00EC411F" w:rsidRPr="00426903" w:rsidRDefault="00EC411F" w:rsidP="00EC411F">
            <w:pPr>
              <w:pStyle w:val="B2"/>
              <w:ind w:left="568"/>
            </w:pPr>
            <w:r w:rsidRPr="00426903">
              <w:t>-</w:t>
            </w:r>
            <w:r w:rsidRPr="00426903">
              <w:tab/>
              <w:t xml:space="preserve">if the relaxed measurement criterion in clause 5.2.4.9.1 is fulfilled for a period of </w:t>
            </w:r>
            <w:proofErr w:type="spellStart"/>
            <w:r w:rsidRPr="00426903">
              <w:t>T</w:t>
            </w:r>
            <w:r w:rsidRPr="00426903">
              <w:rPr>
                <w:vertAlign w:val="subscript"/>
              </w:rPr>
              <w:t>SearchDeltaP</w:t>
            </w:r>
            <w:proofErr w:type="spellEnd"/>
            <w:r w:rsidRPr="00426903">
              <w:t>:</w:t>
            </w:r>
          </w:p>
          <w:p w14:paraId="2D9E442E" w14:textId="23B85669" w:rsidR="00810B5A" w:rsidRDefault="00EC411F" w:rsidP="00917BE7">
            <w:pPr>
              <w:pStyle w:val="B2"/>
            </w:pPr>
            <w:r w:rsidRPr="00426903">
              <w:t>-</w:t>
            </w:r>
            <w:r w:rsidRPr="00426903">
              <w:tab/>
            </w:r>
            <w:r w:rsidRPr="00EC411F">
              <w:rPr>
                <w:highlight w:val="yellow"/>
              </w:rPr>
              <w:t>the UE may choose to perform relaxed measurements</w:t>
            </w:r>
            <w:r w:rsidRPr="00426903">
              <w:t xml:space="preserve"> for intra-frequency cells, NR inter-frequency cells or inter-RAT frequency cells according to relaxation methods in clauses 4.2.2.9, 4.2.2.10, 4.2.2.11, 4.2C.2.7 and 4.2C.2.8 in TS 38.133 [8];</w:t>
            </w:r>
          </w:p>
        </w:tc>
      </w:tr>
    </w:tbl>
    <w:p w14:paraId="7C39592A" w14:textId="3DE729EA" w:rsidR="00561385" w:rsidRDefault="00561385" w:rsidP="00BB56F4">
      <w:pPr>
        <w:rPr>
          <w:lang w:val="en-GB"/>
        </w:rPr>
      </w:pPr>
      <w:proofErr w:type="gramStart"/>
      <w:r>
        <w:rPr>
          <w:lang w:val="en-GB"/>
        </w:rPr>
        <w:t>Last but not least</w:t>
      </w:r>
      <w:proofErr w:type="gramEnd"/>
      <w:r>
        <w:rPr>
          <w:lang w:val="en-GB"/>
        </w:rPr>
        <w:t>, capturing a feature as “optional features without UE capability” was originally motivated to</w:t>
      </w:r>
      <w:r w:rsidR="009807FB">
        <w:rPr>
          <w:lang w:val="en-GB"/>
        </w:rPr>
        <w:t xml:space="preserve"> </w:t>
      </w:r>
      <w:r w:rsidR="002A3C12">
        <w:rPr>
          <w:lang w:val="en-GB"/>
        </w:rPr>
        <w:t xml:space="preserve">capture a feature explicitly in specification to </w:t>
      </w:r>
      <w:r w:rsidR="009807FB">
        <w:rPr>
          <w:lang w:val="en-GB"/>
        </w:rPr>
        <w:t>show what feature is supported by a UE</w:t>
      </w:r>
      <w:r w:rsidR="002A3C12">
        <w:rPr>
          <w:lang w:val="en-GB"/>
        </w:rPr>
        <w:t xml:space="preserve"> and avoid missing any hidden feature that </w:t>
      </w:r>
      <w:r w:rsidR="00393F0D">
        <w:rPr>
          <w:lang w:val="en-GB"/>
        </w:rPr>
        <w:t xml:space="preserve">is optional for a UE. It is not decided based on whether the UE </w:t>
      </w:r>
      <w:proofErr w:type="spellStart"/>
      <w:r w:rsidR="00393F0D">
        <w:rPr>
          <w:lang w:val="en-GB"/>
        </w:rPr>
        <w:t>behavior</w:t>
      </w:r>
      <w:proofErr w:type="spellEnd"/>
      <w:r w:rsidR="00393F0D">
        <w:rPr>
          <w:lang w:val="en-GB"/>
        </w:rPr>
        <w:t xml:space="preserve"> is mandatory or optional. </w:t>
      </w:r>
    </w:p>
    <w:p w14:paraId="7B9DF80C" w14:textId="06708DFE" w:rsidR="00561385" w:rsidRDefault="00644DA1" w:rsidP="00C951A5">
      <w:pPr>
        <w:pStyle w:val="Obs-prop"/>
      </w:pPr>
      <w:r>
        <w:t xml:space="preserve">Observation </w:t>
      </w:r>
      <w:r w:rsidR="0080643E">
        <w:t>4</w:t>
      </w:r>
      <w:r>
        <w:t xml:space="preserve">: Introducing </w:t>
      </w:r>
      <w:r w:rsidR="00B91CB1">
        <w:t xml:space="preserve">“optional features without UE capability” is motivated </w:t>
      </w:r>
      <w:r w:rsidR="00E061A1">
        <w:t>by</w:t>
      </w:r>
      <w:r w:rsidR="00B91CB1">
        <w:t xml:space="preserve"> avoid missing any hidden features that are optional for UE,</w:t>
      </w:r>
      <w:r w:rsidR="00E061A1">
        <w:t xml:space="preserve"> rather than UE </w:t>
      </w:r>
      <w:proofErr w:type="spellStart"/>
      <w:r w:rsidR="00E061A1">
        <w:t>behavior</w:t>
      </w:r>
      <w:proofErr w:type="spellEnd"/>
      <w:r w:rsidR="00E061A1">
        <w:t>.</w:t>
      </w:r>
    </w:p>
    <w:p w14:paraId="01370FB3" w14:textId="7A12B9F1" w:rsidR="00EB572F" w:rsidRPr="00BB56F4" w:rsidRDefault="00917BE7" w:rsidP="00BB56F4">
      <w:pPr>
        <w:rPr>
          <w:lang w:val="en-GB"/>
        </w:rPr>
      </w:pPr>
      <w:r>
        <w:rPr>
          <w:lang w:val="en-GB"/>
        </w:rPr>
        <w:t xml:space="preserve">Therefore, we think </w:t>
      </w:r>
      <w:r w:rsidR="008A43F5">
        <w:rPr>
          <w:lang w:val="en-GB"/>
        </w:rPr>
        <w:t>there’s no harm to introduce UE cell reselection towards mobile IAB as optional feature without UE capability</w:t>
      </w:r>
      <w:r w:rsidR="00E061A1">
        <w:rPr>
          <w:lang w:val="en-GB"/>
        </w:rPr>
        <w:t>, just for information purpose</w:t>
      </w:r>
      <w:r w:rsidR="008A43F5">
        <w:rPr>
          <w:lang w:val="en-GB"/>
        </w:rPr>
        <w:t>.</w:t>
      </w:r>
    </w:p>
    <w:p w14:paraId="240A6819" w14:textId="503B396B" w:rsidR="00B05256" w:rsidRPr="00B05256" w:rsidRDefault="006F34EB" w:rsidP="00A80D2A">
      <w:pPr>
        <w:pStyle w:val="Obs-prop"/>
      </w:pPr>
      <w:r>
        <w:t xml:space="preserve">Proposal </w:t>
      </w:r>
      <w:r w:rsidR="0080643E">
        <w:t>4</w:t>
      </w:r>
      <w:r>
        <w:t xml:space="preserve">: </w:t>
      </w:r>
      <w:r w:rsidR="008A43F5">
        <w:t>Introduce</w:t>
      </w:r>
      <w:r>
        <w:t xml:space="preserve"> </w:t>
      </w:r>
      <w:r w:rsidR="00211614">
        <w:t xml:space="preserve">UE cell reselection towards mobile IAB as </w:t>
      </w:r>
      <w:r w:rsidR="008A43F5">
        <w:t>o</w:t>
      </w:r>
      <w:r>
        <w:t>ptional features without UE capability parameters</w:t>
      </w:r>
      <w:r w:rsidR="00211614">
        <w:t xml:space="preserve"> in TS 38.306 Section 5.</w:t>
      </w: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64A0ECB8" w14:textId="5D123401" w:rsidR="009D5BF3" w:rsidRDefault="009311E0" w:rsidP="009D5BF3">
      <w:r>
        <w:t>In t</w:t>
      </w:r>
      <w:r w:rsidR="003300FF">
        <w:t>his contribution</w:t>
      </w:r>
      <w:r>
        <w:t>, we</w:t>
      </w:r>
      <w:r w:rsidR="00A06717">
        <w:t xml:space="preserve"> discussed the necessity of introducing three capabilities for mobile IAB:</w:t>
      </w:r>
    </w:p>
    <w:p w14:paraId="67CFE07F" w14:textId="1A79E917" w:rsidR="0080643E" w:rsidRDefault="0080643E" w:rsidP="009D5BF3">
      <w:r w:rsidRPr="0080643E">
        <w:rPr>
          <w:highlight w:val="yellow"/>
        </w:rPr>
        <w:t>DC capability</w:t>
      </w:r>
    </w:p>
    <w:p w14:paraId="67220E1A" w14:textId="77777777" w:rsidR="0080643E" w:rsidRDefault="0080643E" w:rsidP="0080643E">
      <w:pPr>
        <w:pStyle w:val="Obs-prop"/>
      </w:pPr>
      <w:r>
        <w:t xml:space="preserve">Observation </w:t>
      </w:r>
      <w:r>
        <w:t>1</w:t>
      </w:r>
      <w:r>
        <w:t xml:space="preserve">: When </w:t>
      </w:r>
      <w:proofErr w:type="spellStart"/>
      <w:r>
        <w:t>mIAB</w:t>
      </w:r>
      <w:proofErr w:type="spellEnd"/>
      <w:r>
        <w:t>-MT is authorized as Rel-16/17 IAB-node, legacy UE capabilities (</w:t>
      </w:r>
      <w:proofErr w:type="gramStart"/>
      <w:r>
        <w:t>e.g.</w:t>
      </w:r>
      <w:proofErr w:type="gramEnd"/>
      <w:r>
        <w:t xml:space="preserve"> MR-DC, NR-DC capabilities for IAB) is used to indicate whether this </w:t>
      </w:r>
      <w:proofErr w:type="spellStart"/>
      <w:r>
        <w:t>mIAB</w:t>
      </w:r>
      <w:proofErr w:type="spellEnd"/>
      <w:r>
        <w:t xml:space="preserve">-MT supports DC or not. The open issue is whether </w:t>
      </w:r>
      <w:proofErr w:type="spellStart"/>
      <w:r>
        <w:t>mIAB</w:t>
      </w:r>
      <w:proofErr w:type="spellEnd"/>
      <w:r>
        <w:t xml:space="preserve">-MT supports DC when it is functioning as Rel-18 </w:t>
      </w:r>
      <w:proofErr w:type="spellStart"/>
      <w:r>
        <w:t>mIAB</w:t>
      </w:r>
      <w:proofErr w:type="spellEnd"/>
      <w:r>
        <w:t xml:space="preserve">-node and has two logical DU simultaneously while it’s moving. </w:t>
      </w:r>
    </w:p>
    <w:p w14:paraId="2083DB95" w14:textId="77777777" w:rsidR="0080643E" w:rsidRDefault="0080643E" w:rsidP="0080643E">
      <w:pPr>
        <w:pStyle w:val="Obs-prop"/>
      </w:pPr>
      <w:r>
        <w:t>Proposal 1: Introduce “</w:t>
      </w:r>
      <w:r w:rsidRPr="00BE555F">
        <w:rPr>
          <w:i/>
          <w:iCs/>
        </w:rPr>
        <w:t>f1c-OverEUTRA</w:t>
      </w:r>
      <w:r>
        <w:rPr>
          <w:i/>
          <w:iCs/>
        </w:rPr>
        <w:t>-r18</w:t>
      </w:r>
      <w:r>
        <w:t>”, “</w:t>
      </w:r>
      <w:r w:rsidRPr="00BE555F">
        <w:rPr>
          <w:i/>
          <w:iCs/>
        </w:rPr>
        <w:t>scg-DRB-NR-IAB</w:t>
      </w:r>
      <w:r>
        <w:rPr>
          <w:i/>
          <w:iCs/>
        </w:rPr>
        <w:t>-r18</w:t>
      </w:r>
      <w:r>
        <w:t>”, “</w:t>
      </w:r>
      <w:r w:rsidRPr="00605D85">
        <w:rPr>
          <w:i/>
          <w:iCs/>
        </w:rPr>
        <w:t>interNR-MeasEUTRA-IAB-r1</w:t>
      </w:r>
      <w:r>
        <w:rPr>
          <w:i/>
          <w:iCs/>
        </w:rPr>
        <w:t>8</w:t>
      </w:r>
      <w:r>
        <w:t>”, “</w:t>
      </w:r>
      <w:r w:rsidRPr="00BE555F">
        <w:rPr>
          <w:i/>
        </w:rPr>
        <w:t>f1c-OverNR-RRC-r1</w:t>
      </w:r>
      <w:r>
        <w:rPr>
          <w:i/>
        </w:rPr>
        <w:t>8</w:t>
      </w:r>
      <w:r>
        <w:t>”, and “</w:t>
      </w:r>
      <w:r w:rsidRPr="00605D85">
        <w:rPr>
          <w:i/>
          <w:iCs/>
        </w:rPr>
        <w:t>simultaneousRxTx-IAB-MultipleParents-r1</w:t>
      </w:r>
      <w:r>
        <w:rPr>
          <w:i/>
          <w:iCs/>
        </w:rPr>
        <w:t>8</w:t>
      </w:r>
      <w:r>
        <w:t>” as Rel-18 mobile IAB-MT DC capabilities.</w:t>
      </w:r>
    </w:p>
    <w:p w14:paraId="373B8117" w14:textId="6A577734" w:rsidR="0080643E" w:rsidRPr="0080643E" w:rsidRDefault="0080643E" w:rsidP="0080643E">
      <w:pPr>
        <w:rPr>
          <w:lang w:val="en-GB"/>
        </w:rPr>
      </w:pPr>
      <w:proofErr w:type="spellStart"/>
      <w:r w:rsidRPr="0080643E">
        <w:rPr>
          <w:highlight w:val="yellow"/>
          <w:lang w:val="en-GB"/>
        </w:rPr>
        <w:t>mIAB</w:t>
      </w:r>
      <w:proofErr w:type="spellEnd"/>
      <w:r w:rsidRPr="0080643E">
        <w:rPr>
          <w:highlight w:val="yellow"/>
          <w:lang w:val="en-GB"/>
        </w:rPr>
        <w:t xml:space="preserve"> capability</w:t>
      </w:r>
    </w:p>
    <w:p w14:paraId="7D8B9853" w14:textId="77777777" w:rsidR="0080643E" w:rsidRDefault="0080643E" w:rsidP="0080643E">
      <w:pPr>
        <w:pStyle w:val="Obs-prop"/>
      </w:pPr>
      <w:r>
        <w:t>Observation 2: Mobile IAB capability serves different purpose from early indication in MSG5. Mobile IAB indication in MSG5 is used to indicate whether a MBSR node is intended to operate as a MBSR during topology integration. UE capability is used to indicate whether mobile IAB device is capable of processing mobile IAB functionalities.</w:t>
      </w:r>
    </w:p>
    <w:p w14:paraId="6F5FA701" w14:textId="77777777" w:rsidR="0080643E" w:rsidRPr="00166F89" w:rsidRDefault="0080643E" w:rsidP="0080643E">
      <w:pPr>
        <w:pStyle w:val="Obs-prop"/>
      </w:pPr>
      <w:r>
        <w:t xml:space="preserve">Observation 3: As required by RAN3, decoding </w:t>
      </w:r>
      <w:proofErr w:type="spellStart"/>
      <w:r>
        <w:t>gNB</w:t>
      </w:r>
      <w:proofErr w:type="spellEnd"/>
      <w:r>
        <w:t>-ID-Length in SIB1 is a mandatory capability should be supported by mobile IAB-MT. It can be covered by this new separate mobile IAB capability.</w:t>
      </w:r>
    </w:p>
    <w:p w14:paraId="4396BF22" w14:textId="77777777" w:rsidR="0080643E" w:rsidRDefault="0080643E" w:rsidP="0080643E">
      <w:pPr>
        <w:pStyle w:val="Obs-prop"/>
      </w:pPr>
      <w:r>
        <w:t xml:space="preserve">Proposal 2: RAN2 confirms to introduce a separate mobile IAB capability. </w:t>
      </w:r>
    </w:p>
    <w:p w14:paraId="771D5F36" w14:textId="60ABE58A" w:rsidR="00115EBF" w:rsidRDefault="00115EBF" w:rsidP="00115EBF">
      <w:r w:rsidRPr="00115EBF">
        <w:rPr>
          <w:highlight w:val="yellow"/>
        </w:rPr>
        <w:t>RACH-less</w:t>
      </w:r>
    </w:p>
    <w:p w14:paraId="086E4980" w14:textId="77777777" w:rsidR="0080643E" w:rsidRPr="00EE5D4B" w:rsidRDefault="0080643E" w:rsidP="0080643E">
      <w:pPr>
        <w:pStyle w:val="Obs-prop"/>
      </w:pPr>
      <w:r>
        <w:t>Proposal 3: Introduce a UE capability bit for mobile IAB RACH-less HO, separate from NTN RACH-less HO.</w:t>
      </w:r>
    </w:p>
    <w:p w14:paraId="0A066987" w14:textId="77777777" w:rsidR="0080643E" w:rsidRDefault="0080643E" w:rsidP="0080643E">
      <w:pPr>
        <w:pStyle w:val="Obs-prop"/>
      </w:pPr>
      <w:r>
        <w:t xml:space="preserve">Observation 4: Introducing “optional features without UE capability” is motivated by avoid missing any hidden features that are optional for UE, rather than UE </w:t>
      </w:r>
      <w:proofErr w:type="spellStart"/>
      <w:r>
        <w:t>behavior</w:t>
      </w:r>
      <w:proofErr w:type="spellEnd"/>
      <w:r>
        <w:t>.</w:t>
      </w:r>
    </w:p>
    <w:p w14:paraId="22654DD1" w14:textId="77777777" w:rsidR="0080643E" w:rsidRDefault="00115EBF" w:rsidP="0080643E">
      <w:pPr>
        <w:pStyle w:val="Obs-prop"/>
      </w:pPr>
      <w:r w:rsidRPr="00115EBF">
        <w:rPr>
          <w:highlight w:val="yellow"/>
        </w:rPr>
        <w:lastRenderedPageBreak/>
        <w:t>Cell reselection</w:t>
      </w:r>
      <w:r w:rsidR="0080643E" w:rsidRPr="0080643E">
        <w:t xml:space="preserve"> </w:t>
      </w:r>
    </w:p>
    <w:p w14:paraId="69CFC721" w14:textId="79E6B2C6" w:rsidR="0080643E" w:rsidRPr="00B05256" w:rsidRDefault="0080643E" w:rsidP="0080643E">
      <w:pPr>
        <w:pStyle w:val="Obs-prop"/>
      </w:pPr>
      <w:r>
        <w:t>Proposal 4: Introduce UE cell reselection towards mobile IAB as optional features without UE capability parameters in TS 38.306 Section 5.</w:t>
      </w:r>
    </w:p>
    <w:p w14:paraId="43F6EB2F" w14:textId="63172E81" w:rsidR="00115EBF" w:rsidRDefault="00115EBF" w:rsidP="00115EBF"/>
    <w:p w14:paraId="7CB18FE7" w14:textId="0BCFFDA7" w:rsidR="003300FF" w:rsidRPr="005E43A7" w:rsidRDefault="003300FF" w:rsidP="00CE6EF3">
      <w:pPr>
        <w:pStyle w:val="Heading1"/>
      </w:pPr>
      <w:r>
        <w:t>References</w:t>
      </w:r>
    </w:p>
    <w:p w14:paraId="27FE3C87" w14:textId="27C4D8C5" w:rsidR="00E54536" w:rsidRPr="00E54536" w:rsidRDefault="00C13799" w:rsidP="00E54536">
      <w:pPr>
        <w:rPr>
          <w:lang w:val="en-GB"/>
        </w:rPr>
      </w:pPr>
      <w:r>
        <w:rPr>
          <w:lang w:val="en-GB"/>
        </w:rPr>
        <w:t xml:space="preserve">[1] </w:t>
      </w:r>
      <w:r>
        <w:rPr>
          <w:lang w:val="en-GB"/>
        </w:rPr>
        <w:t>R2-2311613</w:t>
      </w:r>
      <w:r>
        <w:rPr>
          <w:lang w:val="en-GB"/>
        </w:rPr>
        <w:t xml:space="preserve">, </w:t>
      </w:r>
      <w:r w:rsidR="005E07D5" w:rsidRPr="005E07D5">
        <w:rPr>
          <w:lang w:val="en-GB"/>
        </w:rPr>
        <w:t>38.300 Running CR for Mobile IAB</w:t>
      </w:r>
      <w:r w:rsidR="005E07D5">
        <w:rPr>
          <w:lang w:val="en-GB"/>
        </w:rPr>
        <w:t>, Qualcomm</w:t>
      </w:r>
    </w:p>
    <w:sectPr w:rsidR="00E54536" w:rsidRPr="00E54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05CE9" w14:textId="77777777" w:rsidR="002361C4" w:rsidRDefault="002361C4" w:rsidP="003F5463">
      <w:pPr>
        <w:spacing w:after="0"/>
      </w:pPr>
      <w:r>
        <w:separator/>
      </w:r>
    </w:p>
  </w:endnote>
  <w:endnote w:type="continuationSeparator" w:id="0">
    <w:p w14:paraId="1F2A4896" w14:textId="77777777" w:rsidR="002361C4" w:rsidRDefault="002361C4" w:rsidP="003F5463">
      <w:pPr>
        <w:spacing w:after="0"/>
      </w:pPr>
      <w:r>
        <w:continuationSeparator/>
      </w:r>
    </w:p>
  </w:endnote>
  <w:endnote w:type="continuationNotice" w:id="1">
    <w:p w14:paraId="16EDBDAC" w14:textId="77777777" w:rsidR="002361C4" w:rsidRDefault="002361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929B" w14:textId="77777777" w:rsidR="002361C4" w:rsidRDefault="002361C4" w:rsidP="003F5463">
      <w:pPr>
        <w:spacing w:after="0"/>
      </w:pPr>
      <w:r>
        <w:separator/>
      </w:r>
    </w:p>
  </w:footnote>
  <w:footnote w:type="continuationSeparator" w:id="0">
    <w:p w14:paraId="757CC3A7" w14:textId="77777777" w:rsidR="002361C4" w:rsidRDefault="002361C4" w:rsidP="003F5463">
      <w:pPr>
        <w:spacing w:after="0"/>
      </w:pPr>
      <w:r>
        <w:continuationSeparator/>
      </w:r>
    </w:p>
  </w:footnote>
  <w:footnote w:type="continuationNotice" w:id="1">
    <w:p w14:paraId="75B19B9D" w14:textId="77777777" w:rsidR="002361C4" w:rsidRDefault="002361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1"/>
  </w:num>
  <w:num w:numId="2" w16cid:durableId="363403801">
    <w:abstractNumId w:val="0"/>
  </w:num>
  <w:num w:numId="3" w16cid:durableId="962229383">
    <w:abstractNumId w:val="13"/>
  </w:num>
  <w:num w:numId="4" w16cid:durableId="911234255">
    <w:abstractNumId w:val="6"/>
  </w:num>
  <w:num w:numId="5" w16cid:durableId="187988551">
    <w:abstractNumId w:val="2"/>
  </w:num>
  <w:num w:numId="6" w16cid:durableId="998268520">
    <w:abstractNumId w:val="7"/>
  </w:num>
  <w:num w:numId="7" w16cid:durableId="1419711285">
    <w:abstractNumId w:val="25"/>
  </w:num>
  <w:num w:numId="8" w16cid:durableId="1806122278">
    <w:abstractNumId w:val="5"/>
  </w:num>
  <w:num w:numId="9" w16cid:durableId="897284249">
    <w:abstractNumId w:val="27"/>
  </w:num>
  <w:num w:numId="10" w16cid:durableId="460658485">
    <w:abstractNumId w:val="4"/>
  </w:num>
  <w:num w:numId="11" w16cid:durableId="5072095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26"/>
  </w:num>
  <w:num w:numId="13" w16cid:durableId="962463153">
    <w:abstractNumId w:val="9"/>
  </w:num>
  <w:num w:numId="14" w16cid:durableId="2091416069">
    <w:abstractNumId w:val="3"/>
  </w:num>
  <w:num w:numId="15" w16cid:durableId="1229070153">
    <w:abstractNumId w:val="10"/>
  </w:num>
  <w:num w:numId="16" w16cid:durableId="59837401">
    <w:abstractNumId w:val="19"/>
  </w:num>
  <w:num w:numId="17" w16cid:durableId="886768975">
    <w:abstractNumId w:val="23"/>
  </w:num>
  <w:num w:numId="18" w16cid:durableId="1868134958">
    <w:abstractNumId w:val="1"/>
  </w:num>
  <w:num w:numId="19" w16cid:durableId="2003313857">
    <w:abstractNumId w:val="20"/>
  </w:num>
  <w:num w:numId="20" w16cid:durableId="1805538515">
    <w:abstractNumId w:val="4"/>
  </w:num>
  <w:num w:numId="21" w16cid:durableId="829059108">
    <w:abstractNumId w:val="13"/>
  </w:num>
  <w:num w:numId="22" w16cid:durableId="742996762">
    <w:abstractNumId w:val="17"/>
  </w:num>
  <w:num w:numId="23" w16cid:durableId="1490100759">
    <w:abstractNumId w:val="13"/>
  </w:num>
  <w:num w:numId="24" w16cid:durableId="1358192662">
    <w:abstractNumId w:val="13"/>
  </w:num>
  <w:num w:numId="25" w16cid:durableId="1280531308">
    <w:abstractNumId w:val="13"/>
  </w:num>
  <w:num w:numId="26" w16cid:durableId="506210874">
    <w:abstractNumId w:val="22"/>
  </w:num>
  <w:num w:numId="27" w16cid:durableId="839001344">
    <w:abstractNumId w:val="8"/>
  </w:num>
  <w:num w:numId="28" w16cid:durableId="1341468669">
    <w:abstractNumId w:val="13"/>
  </w:num>
  <w:num w:numId="29" w16cid:durableId="331566276">
    <w:abstractNumId w:val="14"/>
  </w:num>
  <w:num w:numId="30" w16cid:durableId="1042828244">
    <w:abstractNumId w:val="18"/>
  </w:num>
  <w:num w:numId="31" w16cid:durableId="1728189914">
    <w:abstractNumId w:val="15"/>
  </w:num>
  <w:num w:numId="32" w16cid:durableId="923803301">
    <w:abstractNumId w:val="20"/>
  </w:num>
  <w:num w:numId="33" w16cid:durableId="1391151043">
    <w:abstractNumId w:val="19"/>
  </w:num>
  <w:num w:numId="34" w16cid:durableId="628516603">
    <w:abstractNumId w:val="24"/>
  </w:num>
  <w:num w:numId="35" w16cid:durableId="1585409254">
    <w:abstractNumId w:val="13"/>
  </w:num>
  <w:num w:numId="36" w16cid:durableId="1204901398">
    <w:abstractNumId w:val="16"/>
  </w:num>
  <w:num w:numId="37" w16cid:durableId="19150445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1"/>
  </w:num>
  <w:num w:numId="39" w16cid:durableId="126538340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881"/>
    <w:rsid w:val="00013251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6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45B1"/>
    <w:rsid w:val="00045A6C"/>
    <w:rsid w:val="00045AF5"/>
    <w:rsid w:val="00045CAA"/>
    <w:rsid w:val="00046301"/>
    <w:rsid w:val="000466B9"/>
    <w:rsid w:val="00046AE5"/>
    <w:rsid w:val="00046D89"/>
    <w:rsid w:val="000478F7"/>
    <w:rsid w:val="00047E4E"/>
    <w:rsid w:val="00047F3B"/>
    <w:rsid w:val="00050873"/>
    <w:rsid w:val="00050B48"/>
    <w:rsid w:val="00050E0F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49A5"/>
    <w:rsid w:val="00065892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C77"/>
    <w:rsid w:val="00072850"/>
    <w:rsid w:val="00072B0F"/>
    <w:rsid w:val="00072EBA"/>
    <w:rsid w:val="000739F4"/>
    <w:rsid w:val="00073F21"/>
    <w:rsid w:val="00074A3E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A59"/>
    <w:rsid w:val="00090540"/>
    <w:rsid w:val="0009064A"/>
    <w:rsid w:val="0009167E"/>
    <w:rsid w:val="00092169"/>
    <w:rsid w:val="000928D1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B36"/>
    <w:rsid w:val="000A0319"/>
    <w:rsid w:val="000A0623"/>
    <w:rsid w:val="000A08A2"/>
    <w:rsid w:val="000A1C2B"/>
    <w:rsid w:val="000A1CB1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57FE"/>
    <w:rsid w:val="000A636A"/>
    <w:rsid w:val="000A6CCD"/>
    <w:rsid w:val="000A6FDB"/>
    <w:rsid w:val="000A723D"/>
    <w:rsid w:val="000A7856"/>
    <w:rsid w:val="000B0E9D"/>
    <w:rsid w:val="000B1367"/>
    <w:rsid w:val="000B14C3"/>
    <w:rsid w:val="000B1E85"/>
    <w:rsid w:val="000B33FA"/>
    <w:rsid w:val="000B3DF7"/>
    <w:rsid w:val="000B3F96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3CFF"/>
    <w:rsid w:val="000C3DD9"/>
    <w:rsid w:val="000C3E6C"/>
    <w:rsid w:val="000C3EB2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5A4"/>
    <w:rsid w:val="000D18F5"/>
    <w:rsid w:val="000D1EEA"/>
    <w:rsid w:val="000D265F"/>
    <w:rsid w:val="000D2693"/>
    <w:rsid w:val="000D2FFC"/>
    <w:rsid w:val="000D3AE7"/>
    <w:rsid w:val="000D3B23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D77"/>
    <w:rsid w:val="000D7E13"/>
    <w:rsid w:val="000E069B"/>
    <w:rsid w:val="000E08FC"/>
    <w:rsid w:val="000E0F10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6122"/>
    <w:rsid w:val="000F61B2"/>
    <w:rsid w:val="000F656C"/>
    <w:rsid w:val="000F6687"/>
    <w:rsid w:val="000F6749"/>
    <w:rsid w:val="000F71A2"/>
    <w:rsid w:val="000F7521"/>
    <w:rsid w:val="000F765D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539A"/>
    <w:rsid w:val="0010558E"/>
    <w:rsid w:val="001055D7"/>
    <w:rsid w:val="001056EA"/>
    <w:rsid w:val="00106120"/>
    <w:rsid w:val="001061F0"/>
    <w:rsid w:val="0010640C"/>
    <w:rsid w:val="00106A18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551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53E"/>
    <w:rsid w:val="00132767"/>
    <w:rsid w:val="001338C3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AB8"/>
    <w:rsid w:val="00145BAC"/>
    <w:rsid w:val="00145BC5"/>
    <w:rsid w:val="00145D74"/>
    <w:rsid w:val="001460E6"/>
    <w:rsid w:val="0014659F"/>
    <w:rsid w:val="00146992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122"/>
    <w:rsid w:val="0015314A"/>
    <w:rsid w:val="00153367"/>
    <w:rsid w:val="0015367E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7D8"/>
    <w:rsid w:val="00165F88"/>
    <w:rsid w:val="00166ACA"/>
    <w:rsid w:val="00166F89"/>
    <w:rsid w:val="001677FB"/>
    <w:rsid w:val="001679A0"/>
    <w:rsid w:val="00167A3C"/>
    <w:rsid w:val="0017023D"/>
    <w:rsid w:val="001702B6"/>
    <w:rsid w:val="001702D9"/>
    <w:rsid w:val="0017037B"/>
    <w:rsid w:val="00171067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FA9"/>
    <w:rsid w:val="001817BC"/>
    <w:rsid w:val="0018211C"/>
    <w:rsid w:val="001823B6"/>
    <w:rsid w:val="001828AB"/>
    <w:rsid w:val="00182C1D"/>
    <w:rsid w:val="00182EBC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8F2"/>
    <w:rsid w:val="00186E14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C9E"/>
    <w:rsid w:val="00195FB2"/>
    <w:rsid w:val="00196401"/>
    <w:rsid w:val="0019697D"/>
    <w:rsid w:val="00197226"/>
    <w:rsid w:val="001978FF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653"/>
    <w:rsid w:val="001B379B"/>
    <w:rsid w:val="001B465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20E0"/>
    <w:rsid w:val="001C210B"/>
    <w:rsid w:val="001C221B"/>
    <w:rsid w:val="001C27D1"/>
    <w:rsid w:val="001C2800"/>
    <w:rsid w:val="001C3549"/>
    <w:rsid w:val="001C3589"/>
    <w:rsid w:val="001C3A79"/>
    <w:rsid w:val="001C3C46"/>
    <w:rsid w:val="001C49E8"/>
    <w:rsid w:val="001C4C5E"/>
    <w:rsid w:val="001C4C9F"/>
    <w:rsid w:val="001C5172"/>
    <w:rsid w:val="001C57CC"/>
    <w:rsid w:val="001C58A1"/>
    <w:rsid w:val="001C599D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615"/>
    <w:rsid w:val="001E76B6"/>
    <w:rsid w:val="001F0130"/>
    <w:rsid w:val="001F062E"/>
    <w:rsid w:val="001F074B"/>
    <w:rsid w:val="001F0F6B"/>
    <w:rsid w:val="001F1207"/>
    <w:rsid w:val="001F1401"/>
    <w:rsid w:val="001F1709"/>
    <w:rsid w:val="001F2C8D"/>
    <w:rsid w:val="001F35BF"/>
    <w:rsid w:val="001F36B2"/>
    <w:rsid w:val="001F3AB2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E2C"/>
    <w:rsid w:val="002250A4"/>
    <w:rsid w:val="002252EF"/>
    <w:rsid w:val="00225F2D"/>
    <w:rsid w:val="0022730B"/>
    <w:rsid w:val="00227B57"/>
    <w:rsid w:val="00227D59"/>
    <w:rsid w:val="00227F3B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D16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41E5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77D"/>
    <w:rsid w:val="002B3752"/>
    <w:rsid w:val="002B3D88"/>
    <w:rsid w:val="002B4B06"/>
    <w:rsid w:val="002B4B35"/>
    <w:rsid w:val="002B6049"/>
    <w:rsid w:val="002B68A5"/>
    <w:rsid w:val="002B71CC"/>
    <w:rsid w:val="002B77BE"/>
    <w:rsid w:val="002B7BFD"/>
    <w:rsid w:val="002C02C3"/>
    <w:rsid w:val="002C0825"/>
    <w:rsid w:val="002C2287"/>
    <w:rsid w:val="002C267A"/>
    <w:rsid w:val="002C3666"/>
    <w:rsid w:val="002C42C1"/>
    <w:rsid w:val="002C4B31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B33"/>
    <w:rsid w:val="002D1F65"/>
    <w:rsid w:val="002D24D5"/>
    <w:rsid w:val="002D250C"/>
    <w:rsid w:val="002D2758"/>
    <w:rsid w:val="002D29C1"/>
    <w:rsid w:val="002D2A38"/>
    <w:rsid w:val="002D37FA"/>
    <w:rsid w:val="002D3988"/>
    <w:rsid w:val="002D3BEB"/>
    <w:rsid w:val="002D41B5"/>
    <w:rsid w:val="002D4415"/>
    <w:rsid w:val="002D4916"/>
    <w:rsid w:val="002D4EE3"/>
    <w:rsid w:val="002D5159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DBD"/>
    <w:rsid w:val="002E16B0"/>
    <w:rsid w:val="002E1C07"/>
    <w:rsid w:val="002E2BA8"/>
    <w:rsid w:val="002E2C68"/>
    <w:rsid w:val="002E320C"/>
    <w:rsid w:val="002E3ABB"/>
    <w:rsid w:val="002E3B20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A05"/>
    <w:rsid w:val="00302C44"/>
    <w:rsid w:val="00302D33"/>
    <w:rsid w:val="00302E2A"/>
    <w:rsid w:val="00302ED9"/>
    <w:rsid w:val="0030304A"/>
    <w:rsid w:val="003032A4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A42"/>
    <w:rsid w:val="00314CD5"/>
    <w:rsid w:val="00314F69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8C1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B56"/>
    <w:rsid w:val="00360CEE"/>
    <w:rsid w:val="003612CB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F5D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1493"/>
    <w:rsid w:val="003C1580"/>
    <w:rsid w:val="003C1865"/>
    <w:rsid w:val="003C1C29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CBF"/>
    <w:rsid w:val="003C68F2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27EA"/>
    <w:rsid w:val="003D283D"/>
    <w:rsid w:val="003D2BFF"/>
    <w:rsid w:val="003D33AB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F75"/>
    <w:rsid w:val="003E61D5"/>
    <w:rsid w:val="003E67AF"/>
    <w:rsid w:val="003E6EA4"/>
    <w:rsid w:val="003E7260"/>
    <w:rsid w:val="003E7C28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D12"/>
    <w:rsid w:val="003F5214"/>
    <w:rsid w:val="003F5463"/>
    <w:rsid w:val="003F5526"/>
    <w:rsid w:val="003F59E9"/>
    <w:rsid w:val="003F5C48"/>
    <w:rsid w:val="003F66F9"/>
    <w:rsid w:val="003F714C"/>
    <w:rsid w:val="003F775C"/>
    <w:rsid w:val="0040016F"/>
    <w:rsid w:val="00400198"/>
    <w:rsid w:val="004002A9"/>
    <w:rsid w:val="00400FC5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231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C7F"/>
    <w:rsid w:val="00450DB9"/>
    <w:rsid w:val="00450F66"/>
    <w:rsid w:val="0045103D"/>
    <w:rsid w:val="004514A9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600C3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FF6"/>
    <w:rsid w:val="00466B42"/>
    <w:rsid w:val="00466CE3"/>
    <w:rsid w:val="00466DF0"/>
    <w:rsid w:val="00466EBD"/>
    <w:rsid w:val="00467220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DA7"/>
    <w:rsid w:val="0047564D"/>
    <w:rsid w:val="00475B9E"/>
    <w:rsid w:val="00475E6C"/>
    <w:rsid w:val="00476889"/>
    <w:rsid w:val="004769AC"/>
    <w:rsid w:val="00477AEE"/>
    <w:rsid w:val="00477C71"/>
    <w:rsid w:val="0048021E"/>
    <w:rsid w:val="00480E69"/>
    <w:rsid w:val="00481BF9"/>
    <w:rsid w:val="00481D14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7169"/>
    <w:rsid w:val="00490001"/>
    <w:rsid w:val="004906EE"/>
    <w:rsid w:val="00490A68"/>
    <w:rsid w:val="00490B78"/>
    <w:rsid w:val="00491135"/>
    <w:rsid w:val="00492371"/>
    <w:rsid w:val="00492FE1"/>
    <w:rsid w:val="00493189"/>
    <w:rsid w:val="00493429"/>
    <w:rsid w:val="0049345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41E5"/>
    <w:rsid w:val="004E4A8C"/>
    <w:rsid w:val="004E5480"/>
    <w:rsid w:val="004E5B42"/>
    <w:rsid w:val="004E5C5C"/>
    <w:rsid w:val="004E604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7CA"/>
    <w:rsid w:val="00536C0F"/>
    <w:rsid w:val="0053780A"/>
    <w:rsid w:val="0053794D"/>
    <w:rsid w:val="00537A8E"/>
    <w:rsid w:val="005401EE"/>
    <w:rsid w:val="0054073A"/>
    <w:rsid w:val="005414B6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57B0"/>
    <w:rsid w:val="00555E60"/>
    <w:rsid w:val="0055676F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DE8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1533"/>
    <w:rsid w:val="005815F0"/>
    <w:rsid w:val="0058199F"/>
    <w:rsid w:val="005821D0"/>
    <w:rsid w:val="0058239A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1693"/>
    <w:rsid w:val="005918D7"/>
    <w:rsid w:val="00592311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D94"/>
    <w:rsid w:val="005C140A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4E00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5022"/>
    <w:rsid w:val="006053A0"/>
    <w:rsid w:val="00605B4F"/>
    <w:rsid w:val="00605D85"/>
    <w:rsid w:val="00605FA4"/>
    <w:rsid w:val="006067A5"/>
    <w:rsid w:val="00606B4B"/>
    <w:rsid w:val="0060746A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1B"/>
    <w:rsid w:val="00614255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7F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EBB"/>
    <w:rsid w:val="00661A13"/>
    <w:rsid w:val="00661F69"/>
    <w:rsid w:val="00662546"/>
    <w:rsid w:val="0066266F"/>
    <w:rsid w:val="00662A68"/>
    <w:rsid w:val="00662AF1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6DC"/>
    <w:rsid w:val="0067681E"/>
    <w:rsid w:val="00676A38"/>
    <w:rsid w:val="00676BD8"/>
    <w:rsid w:val="00677DB1"/>
    <w:rsid w:val="00680290"/>
    <w:rsid w:val="00680648"/>
    <w:rsid w:val="00680B22"/>
    <w:rsid w:val="00681A98"/>
    <w:rsid w:val="006829C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D7"/>
    <w:rsid w:val="00690F1E"/>
    <w:rsid w:val="0069262F"/>
    <w:rsid w:val="006930EE"/>
    <w:rsid w:val="006939CD"/>
    <w:rsid w:val="006940C2"/>
    <w:rsid w:val="006945B9"/>
    <w:rsid w:val="006948AC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71F"/>
    <w:rsid w:val="006A5B2B"/>
    <w:rsid w:val="006A67D1"/>
    <w:rsid w:val="006A6858"/>
    <w:rsid w:val="006A7B0D"/>
    <w:rsid w:val="006B02E1"/>
    <w:rsid w:val="006B039E"/>
    <w:rsid w:val="006B0594"/>
    <w:rsid w:val="006B0F2C"/>
    <w:rsid w:val="006B1B9B"/>
    <w:rsid w:val="006B2BFD"/>
    <w:rsid w:val="006B2D52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599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F79"/>
    <w:rsid w:val="007074E9"/>
    <w:rsid w:val="007078B0"/>
    <w:rsid w:val="00707914"/>
    <w:rsid w:val="0071011E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A49"/>
    <w:rsid w:val="00715A54"/>
    <w:rsid w:val="00716142"/>
    <w:rsid w:val="007163E9"/>
    <w:rsid w:val="00716FE8"/>
    <w:rsid w:val="007172CB"/>
    <w:rsid w:val="00717EB3"/>
    <w:rsid w:val="00720B57"/>
    <w:rsid w:val="00721944"/>
    <w:rsid w:val="007221C5"/>
    <w:rsid w:val="00722B49"/>
    <w:rsid w:val="007231BF"/>
    <w:rsid w:val="00723266"/>
    <w:rsid w:val="007232A8"/>
    <w:rsid w:val="00723B08"/>
    <w:rsid w:val="00724021"/>
    <w:rsid w:val="00724641"/>
    <w:rsid w:val="00724C4C"/>
    <w:rsid w:val="00724C96"/>
    <w:rsid w:val="00725D2A"/>
    <w:rsid w:val="00726CFD"/>
    <w:rsid w:val="0072706F"/>
    <w:rsid w:val="00727125"/>
    <w:rsid w:val="007277FB"/>
    <w:rsid w:val="00727874"/>
    <w:rsid w:val="0073038B"/>
    <w:rsid w:val="00731001"/>
    <w:rsid w:val="00731339"/>
    <w:rsid w:val="00731F93"/>
    <w:rsid w:val="00731FB1"/>
    <w:rsid w:val="00733C7F"/>
    <w:rsid w:val="0073404B"/>
    <w:rsid w:val="007343DA"/>
    <w:rsid w:val="0073466E"/>
    <w:rsid w:val="007355C0"/>
    <w:rsid w:val="00735C38"/>
    <w:rsid w:val="007366D1"/>
    <w:rsid w:val="00736859"/>
    <w:rsid w:val="00736A22"/>
    <w:rsid w:val="00736A87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592"/>
    <w:rsid w:val="00753860"/>
    <w:rsid w:val="00753AA7"/>
    <w:rsid w:val="00753BBB"/>
    <w:rsid w:val="0075452E"/>
    <w:rsid w:val="0075471F"/>
    <w:rsid w:val="007547B8"/>
    <w:rsid w:val="0075488F"/>
    <w:rsid w:val="00754DF5"/>
    <w:rsid w:val="00754EDA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6773"/>
    <w:rsid w:val="00766B65"/>
    <w:rsid w:val="00766DA9"/>
    <w:rsid w:val="00766F5C"/>
    <w:rsid w:val="00766FF7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9AE"/>
    <w:rsid w:val="00772404"/>
    <w:rsid w:val="00772B5F"/>
    <w:rsid w:val="00772F1F"/>
    <w:rsid w:val="0077375C"/>
    <w:rsid w:val="007738E1"/>
    <w:rsid w:val="00774254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D93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D73"/>
    <w:rsid w:val="00787239"/>
    <w:rsid w:val="00787E1C"/>
    <w:rsid w:val="0079045C"/>
    <w:rsid w:val="007911D4"/>
    <w:rsid w:val="0079144D"/>
    <w:rsid w:val="00791C04"/>
    <w:rsid w:val="00791EC4"/>
    <w:rsid w:val="007927EF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B58"/>
    <w:rsid w:val="007A30C7"/>
    <w:rsid w:val="007A393A"/>
    <w:rsid w:val="007A4302"/>
    <w:rsid w:val="007A53AF"/>
    <w:rsid w:val="007A5DB1"/>
    <w:rsid w:val="007A5DF5"/>
    <w:rsid w:val="007A698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1965"/>
    <w:rsid w:val="007F24B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DD"/>
    <w:rsid w:val="007F5427"/>
    <w:rsid w:val="007F5B6A"/>
    <w:rsid w:val="007F638D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3987"/>
    <w:rsid w:val="00814450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FF8"/>
    <w:rsid w:val="0085082D"/>
    <w:rsid w:val="00850A2E"/>
    <w:rsid w:val="00850FB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894"/>
    <w:rsid w:val="0086781B"/>
    <w:rsid w:val="00867908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1E7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EEE"/>
    <w:rsid w:val="008863F6"/>
    <w:rsid w:val="008864EE"/>
    <w:rsid w:val="0088667D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5458"/>
    <w:rsid w:val="00896302"/>
    <w:rsid w:val="008970BF"/>
    <w:rsid w:val="00897622"/>
    <w:rsid w:val="008A0402"/>
    <w:rsid w:val="008A048C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96C"/>
    <w:rsid w:val="008A67F3"/>
    <w:rsid w:val="008A743C"/>
    <w:rsid w:val="008A78A1"/>
    <w:rsid w:val="008A7C0A"/>
    <w:rsid w:val="008A7E34"/>
    <w:rsid w:val="008B04D5"/>
    <w:rsid w:val="008B0C1D"/>
    <w:rsid w:val="008B1128"/>
    <w:rsid w:val="008B1951"/>
    <w:rsid w:val="008B1B01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369"/>
    <w:rsid w:val="008D336D"/>
    <w:rsid w:val="008D3535"/>
    <w:rsid w:val="008D4C0F"/>
    <w:rsid w:val="008D4E61"/>
    <w:rsid w:val="008D5114"/>
    <w:rsid w:val="008D5249"/>
    <w:rsid w:val="008D53A5"/>
    <w:rsid w:val="008D56BA"/>
    <w:rsid w:val="008D5FB1"/>
    <w:rsid w:val="008D678D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4778"/>
    <w:rsid w:val="008E50FB"/>
    <w:rsid w:val="008E53C3"/>
    <w:rsid w:val="008E57EE"/>
    <w:rsid w:val="008E692E"/>
    <w:rsid w:val="008E6BA0"/>
    <w:rsid w:val="008E7509"/>
    <w:rsid w:val="008E75D6"/>
    <w:rsid w:val="008E7620"/>
    <w:rsid w:val="008F15A9"/>
    <w:rsid w:val="008F1B80"/>
    <w:rsid w:val="008F3476"/>
    <w:rsid w:val="008F3C61"/>
    <w:rsid w:val="008F3DED"/>
    <w:rsid w:val="008F4166"/>
    <w:rsid w:val="008F45FD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53D"/>
    <w:rsid w:val="00915AD6"/>
    <w:rsid w:val="00915F42"/>
    <w:rsid w:val="0091660A"/>
    <w:rsid w:val="009169F0"/>
    <w:rsid w:val="0091709B"/>
    <w:rsid w:val="00917211"/>
    <w:rsid w:val="00917429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926"/>
    <w:rsid w:val="0093424F"/>
    <w:rsid w:val="00934FAE"/>
    <w:rsid w:val="0093517A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235F"/>
    <w:rsid w:val="00952539"/>
    <w:rsid w:val="009527AD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214"/>
    <w:rsid w:val="00963314"/>
    <w:rsid w:val="009637A9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CC9"/>
    <w:rsid w:val="00971FEE"/>
    <w:rsid w:val="00972154"/>
    <w:rsid w:val="00972841"/>
    <w:rsid w:val="00972FD2"/>
    <w:rsid w:val="009732AD"/>
    <w:rsid w:val="0097336C"/>
    <w:rsid w:val="00973C21"/>
    <w:rsid w:val="00973CDA"/>
    <w:rsid w:val="00974096"/>
    <w:rsid w:val="00974FD6"/>
    <w:rsid w:val="0097509F"/>
    <w:rsid w:val="009752C7"/>
    <w:rsid w:val="00975779"/>
    <w:rsid w:val="00975B49"/>
    <w:rsid w:val="00976FE6"/>
    <w:rsid w:val="00977342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F56"/>
    <w:rsid w:val="00983784"/>
    <w:rsid w:val="00983BAE"/>
    <w:rsid w:val="00984B63"/>
    <w:rsid w:val="00985B05"/>
    <w:rsid w:val="00987027"/>
    <w:rsid w:val="009870D2"/>
    <w:rsid w:val="009879E2"/>
    <w:rsid w:val="009901E4"/>
    <w:rsid w:val="0099065E"/>
    <w:rsid w:val="009906EE"/>
    <w:rsid w:val="00991458"/>
    <w:rsid w:val="00991831"/>
    <w:rsid w:val="00991F8D"/>
    <w:rsid w:val="0099362C"/>
    <w:rsid w:val="00993946"/>
    <w:rsid w:val="00993B3B"/>
    <w:rsid w:val="009941B4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1CB9"/>
    <w:rsid w:val="009B2B74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B41"/>
    <w:rsid w:val="009C3BD3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F6C"/>
    <w:rsid w:val="009D300A"/>
    <w:rsid w:val="009D36E5"/>
    <w:rsid w:val="009D3D10"/>
    <w:rsid w:val="009D472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A73"/>
    <w:rsid w:val="009E58DB"/>
    <w:rsid w:val="009E5CEE"/>
    <w:rsid w:val="009E616E"/>
    <w:rsid w:val="009E6191"/>
    <w:rsid w:val="009F029A"/>
    <w:rsid w:val="009F0A92"/>
    <w:rsid w:val="009F0F24"/>
    <w:rsid w:val="009F17C3"/>
    <w:rsid w:val="009F1DA5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5129"/>
    <w:rsid w:val="00A051E6"/>
    <w:rsid w:val="00A0619C"/>
    <w:rsid w:val="00A0622B"/>
    <w:rsid w:val="00A062E0"/>
    <w:rsid w:val="00A06717"/>
    <w:rsid w:val="00A06C46"/>
    <w:rsid w:val="00A06C76"/>
    <w:rsid w:val="00A07A6D"/>
    <w:rsid w:val="00A07B2D"/>
    <w:rsid w:val="00A1006A"/>
    <w:rsid w:val="00A109AA"/>
    <w:rsid w:val="00A11ABF"/>
    <w:rsid w:val="00A11D73"/>
    <w:rsid w:val="00A11EFD"/>
    <w:rsid w:val="00A12009"/>
    <w:rsid w:val="00A13668"/>
    <w:rsid w:val="00A13EA1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67B"/>
    <w:rsid w:val="00A35EF5"/>
    <w:rsid w:val="00A36262"/>
    <w:rsid w:val="00A364D6"/>
    <w:rsid w:val="00A37114"/>
    <w:rsid w:val="00A3750E"/>
    <w:rsid w:val="00A400FE"/>
    <w:rsid w:val="00A407B6"/>
    <w:rsid w:val="00A408DD"/>
    <w:rsid w:val="00A41008"/>
    <w:rsid w:val="00A414EA"/>
    <w:rsid w:val="00A41669"/>
    <w:rsid w:val="00A41DD3"/>
    <w:rsid w:val="00A41E3B"/>
    <w:rsid w:val="00A420B6"/>
    <w:rsid w:val="00A42485"/>
    <w:rsid w:val="00A42FD3"/>
    <w:rsid w:val="00A43322"/>
    <w:rsid w:val="00A43623"/>
    <w:rsid w:val="00A439F3"/>
    <w:rsid w:val="00A43B33"/>
    <w:rsid w:val="00A440F1"/>
    <w:rsid w:val="00A44A42"/>
    <w:rsid w:val="00A45086"/>
    <w:rsid w:val="00A455E0"/>
    <w:rsid w:val="00A45F6C"/>
    <w:rsid w:val="00A46045"/>
    <w:rsid w:val="00A50663"/>
    <w:rsid w:val="00A50681"/>
    <w:rsid w:val="00A50BFF"/>
    <w:rsid w:val="00A50EDD"/>
    <w:rsid w:val="00A513A5"/>
    <w:rsid w:val="00A517F0"/>
    <w:rsid w:val="00A52333"/>
    <w:rsid w:val="00A524DC"/>
    <w:rsid w:val="00A52729"/>
    <w:rsid w:val="00A529DB"/>
    <w:rsid w:val="00A52BC6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609"/>
    <w:rsid w:val="00A55688"/>
    <w:rsid w:val="00A55698"/>
    <w:rsid w:val="00A557D4"/>
    <w:rsid w:val="00A55B4C"/>
    <w:rsid w:val="00A55B8D"/>
    <w:rsid w:val="00A562F2"/>
    <w:rsid w:val="00A563A0"/>
    <w:rsid w:val="00A56D47"/>
    <w:rsid w:val="00A575C3"/>
    <w:rsid w:val="00A57739"/>
    <w:rsid w:val="00A578C3"/>
    <w:rsid w:val="00A5796C"/>
    <w:rsid w:val="00A6017A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3106"/>
    <w:rsid w:val="00A739B8"/>
    <w:rsid w:val="00A73F40"/>
    <w:rsid w:val="00A7485B"/>
    <w:rsid w:val="00A752CD"/>
    <w:rsid w:val="00A75786"/>
    <w:rsid w:val="00A7590B"/>
    <w:rsid w:val="00A75E3B"/>
    <w:rsid w:val="00A7672E"/>
    <w:rsid w:val="00A768DE"/>
    <w:rsid w:val="00A76A32"/>
    <w:rsid w:val="00A76CBD"/>
    <w:rsid w:val="00A76DFB"/>
    <w:rsid w:val="00A773F6"/>
    <w:rsid w:val="00A80519"/>
    <w:rsid w:val="00A80D2A"/>
    <w:rsid w:val="00A80D71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824"/>
    <w:rsid w:val="00AA4BB1"/>
    <w:rsid w:val="00AA59C7"/>
    <w:rsid w:val="00AA5C92"/>
    <w:rsid w:val="00AA60C4"/>
    <w:rsid w:val="00AA686B"/>
    <w:rsid w:val="00AA6FAB"/>
    <w:rsid w:val="00AA7488"/>
    <w:rsid w:val="00AA7552"/>
    <w:rsid w:val="00AB0D13"/>
    <w:rsid w:val="00AB0FCC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791"/>
    <w:rsid w:val="00AC49E3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BE7"/>
    <w:rsid w:val="00AD0CCD"/>
    <w:rsid w:val="00AD1C12"/>
    <w:rsid w:val="00AD2138"/>
    <w:rsid w:val="00AD224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8D8"/>
    <w:rsid w:val="00AE1A70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5BE5"/>
    <w:rsid w:val="00AF5C47"/>
    <w:rsid w:val="00AF5DC4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10EC"/>
    <w:rsid w:val="00B11530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A5"/>
    <w:rsid w:val="00B22C49"/>
    <w:rsid w:val="00B23086"/>
    <w:rsid w:val="00B2342F"/>
    <w:rsid w:val="00B2406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FC1"/>
    <w:rsid w:val="00B318F1"/>
    <w:rsid w:val="00B322E9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254C"/>
    <w:rsid w:val="00B42EAE"/>
    <w:rsid w:val="00B4346F"/>
    <w:rsid w:val="00B4353F"/>
    <w:rsid w:val="00B43A7D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E7A"/>
    <w:rsid w:val="00B55EA6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F32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A01BA"/>
    <w:rsid w:val="00BA06DD"/>
    <w:rsid w:val="00BA0C0E"/>
    <w:rsid w:val="00BA0C97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7030"/>
    <w:rsid w:val="00BA7692"/>
    <w:rsid w:val="00BA76A0"/>
    <w:rsid w:val="00BA7719"/>
    <w:rsid w:val="00BA7893"/>
    <w:rsid w:val="00BA7B99"/>
    <w:rsid w:val="00BA7E4A"/>
    <w:rsid w:val="00BB10D7"/>
    <w:rsid w:val="00BB1860"/>
    <w:rsid w:val="00BB19CE"/>
    <w:rsid w:val="00BB2926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7091"/>
    <w:rsid w:val="00BC7340"/>
    <w:rsid w:val="00BC7372"/>
    <w:rsid w:val="00BC7545"/>
    <w:rsid w:val="00BC7B1A"/>
    <w:rsid w:val="00BD014F"/>
    <w:rsid w:val="00BD1166"/>
    <w:rsid w:val="00BD1305"/>
    <w:rsid w:val="00BD14DB"/>
    <w:rsid w:val="00BD17CF"/>
    <w:rsid w:val="00BD236D"/>
    <w:rsid w:val="00BD2470"/>
    <w:rsid w:val="00BD32C5"/>
    <w:rsid w:val="00BD484F"/>
    <w:rsid w:val="00BD4EF3"/>
    <w:rsid w:val="00BD54C1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3C0"/>
    <w:rsid w:val="00BE589D"/>
    <w:rsid w:val="00BE62D7"/>
    <w:rsid w:val="00BE644C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60A6"/>
    <w:rsid w:val="00BF66D3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8C7"/>
    <w:rsid w:val="00C04B72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3C8"/>
    <w:rsid w:val="00C17946"/>
    <w:rsid w:val="00C17BF9"/>
    <w:rsid w:val="00C17E85"/>
    <w:rsid w:val="00C2044E"/>
    <w:rsid w:val="00C20907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D9"/>
    <w:rsid w:val="00C41980"/>
    <w:rsid w:val="00C41B9A"/>
    <w:rsid w:val="00C41BFF"/>
    <w:rsid w:val="00C41D87"/>
    <w:rsid w:val="00C437CD"/>
    <w:rsid w:val="00C43865"/>
    <w:rsid w:val="00C442FF"/>
    <w:rsid w:val="00C443A5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8C2"/>
    <w:rsid w:val="00C51D0A"/>
    <w:rsid w:val="00C520E2"/>
    <w:rsid w:val="00C52722"/>
    <w:rsid w:val="00C53264"/>
    <w:rsid w:val="00C53CD0"/>
    <w:rsid w:val="00C53E70"/>
    <w:rsid w:val="00C53E95"/>
    <w:rsid w:val="00C540A1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10A8"/>
    <w:rsid w:val="00C630DF"/>
    <w:rsid w:val="00C632E2"/>
    <w:rsid w:val="00C6347F"/>
    <w:rsid w:val="00C63488"/>
    <w:rsid w:val="00C63C8F"/>
    <w:rsid w:val="00C63DF7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2B27"/>
    <w:rsid w:val="00C72FA2"/>
    <w:rsid w:val="00C732E8"/>
    <w:rsid w:val="00C736D8"/>
    <w:rsid w:val="00C73FE0"/>
    <w:rsid w:val="00C742AE"/>
    <w:rsid w:val="00C74762"/>
    <w:rsid w:val="00C7492C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5CB"/>
    <w:rsid w:val="00C831C1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D67"/>
    <w:rsid w:val="00C87EA0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4D2B"/>
    <w:rsid w:val="00CA4F4A"/>
    <w:rsid w:val="00CA4F81"/>
    <w:rsid w:val="00CA522A"/>
    <w:rsid w:val="00CA5436"/>
    <w:rsid w:val="00CA5574"/>
    <w:rsid w:val="00CA587A"/>
    <w:rsid w:val="00CA66DD"/>
    <w:rsid w:val="00CA74AC"/>
    <w:rsid w:val="00CA754E"/>
    <w:rsid w:val="00CA7845"/>
    <w:rsid w:val="00CA7870"/>
    <w:rsid w:val="00CB08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6109"/>
    <w:rsid w:val="00CB6193"/>
    <w:rsid w:val="00CB61DB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939"/>
    <w:rsid w:val="00CC497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628"/>
    <w:rsid w:val="00CE2AB5"/>
    <w:rsid w:val="00CE2FD3"/>
    <w:rsid w:val="00CE323F"/>
    <w:rsid w:val="00CE3848"/>
    <w:rsid w:val="00CE4619"/>
    <w:rsid w:val="00CE4843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9C1"/>
    <w:rsid w:val="00CF3E68"/>
    <w:rsid w:val="00CF40C7"/>
    <w:rsid w:val="00CF4450"/>
    <w:rsid w:val="00CF4470"/>
    <w:rsid w:val="00CF50AB"/>
    <w:rsid w:val="00CF50D7"/>
    <w:rsid w:val="00CF5787"/>
    <w:rsid w:val="00CF6669"/>
    <w:rsid w:val="00CF6BF0"/>
    <w:rsid w:val="00CF6E02"/>
    <w:rsid w:val="00CF6E77"/>
    <w:rsid w:val="00CF7338"/>
    <w:rsid w:val="00CF756B"/>
    <w:rsid w:val="00CF7A28"/>
    <w:rsid w:val="00CF7E2F"/>
    <w:rsid w:val="00D00ADD"/>
    <w:rsid w:val="00D00CD7"/>
    <w:rsid w:val="00D01281"/>
    <w:rsid w:val="00D01C1F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118C"/>
    <w:rsid w:val="00D115C5"/>
    <w:rsid w:val="00D11C63"/>
    <w:rsid w:val="00D11F8D"/>
    <w:rsid w:val="00D1229E"/>
    <w:rsid w:val="00D127BA"/>
    <w:rsid w:val="00D13AEC"/>
    <w:rsid w:val="00D13CDD"/>
    <w:rsid w:val="00D15959"/>
    <w:rsid w:val="00D1665D"/>
    <w:rsid w:val="00D166D8"/>
    <w:rsid w:val="00D16771"/>
    <w:rsid w:val="00D17C1A"/>
    <w:rsid w:val="00D2053E"/>
    <w:rsid w:val="00D20DF7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56B6"/>
    <w:rsid w:val="00D3594E"/>
    <w:rsid w:val="00D35DD2"/>
    <w:rsid w:val="00D3642F"/>
    <w:rsid w:val="00D36948"/>
    <w:rsid w:val="00D36CE5"/>
    <w:rsid w:val="00D37153"/>
    <w:rsid w:val="00D37509"/>
    <w:rsid w:val="00D37723"/>
    <w:rsid w:val="00D37B89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C44"/>
    <w:rsid w:val="00D50E70"/>
    <w:rsid w:val="00D52CBE"/>
    <w:rsid w:val="00D53132"/>
    <w:rsid w:val="00D537CA"/>
    <w:rsid w:val="00D537E5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781E"/>
    <w:rsid w:val="00D90830"/>
    <w:rsid w:val="00D90C7C"/>
    <w:rsid w:val="00D90E0D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47EF"/>
    <w:rsid w:val="00D949DA"/>
    <w:rsid w:val="00D9527A"/>
    <w:rsid w:val="00D954BE"/>
    <w:rsid w:val="00D958AC"/>
    <w:rsid w:val="00D95909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78B0"/>
    <w:rsid w:val="00DB7907"/>
    <w:rsid w:val="00DC033D"/>
    <w:rsid w:val="00DC0DCA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6669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5FD"/>
    <w:rsid w:val="00E00C42"/>
    <w:rsid w:val="00E01628"/>
    <w:rsid w:val="00E01B26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1051E"/>
    <w:rsid w:val="00E10928"/>
    <w:rsid w:val="00E111E3"/>
    <w:rsid w:val="00E12820"/>
    <w:rsid w:val="00E1306A"/>
    <w:rsid w:val="00E13EF6"/>
    <w:rsid w:val="00E14B4C"/>
    <w:rsid w:val="00E14C6E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96"/>
    <w:rsid w:val="00E32305"/>
    <w:rsid w:val="00E32872"/>
    <w:rsid w:val="00E32DFC"/>
    <w:rsid w:val="00E330C0"/>
    <w:rsid w:val="00E33A5C"/>
    <w:rsid w:val="00E33B49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C9E"/>
    <w:rsid w:val="00E50D4F"/>
    <w:rsid w:val="00E5115C"/>
    <w:rsid w:val="00E52222"/>
    <w:rsid w:val="00E52381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6782"/>
    <w:rsid w:val="00E56A6F"/>
    <w:rsid w:val="00E57263"/>
    <w:rsid w:val="00E57841"/>
    <w:rsid w:val="00E57889"/>
    <w:rsid w:val="00E601BC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74E"/>
    <w:rsid w:val="00E71769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C24"/>
    <w:rsid w:val="00EA1D89"/>
    <w:rsid w:val="00EA1E33"/>
    <w:rsid w:val="00EA20AC"/>
    <w:rsid w:val="00EA2FC5"/>
    <w:rsid w:val="00EA3059"/>
    <w:rsid w:val="00EA3899"/>
    <w:rsid w:val="00EA4781"/>
    <w:rsid w:val="00EA5118"/>
    <w:rsid w:val="00EA59E4"/>
    <w:rsid w:val="00EA5FEA"/>
    <w:rsid w:val="00EA5FF4"/>
    <w:rsid w:val="00EA67C5"/>
    <w:rsid w:val="00EA684A"/>
    <w:rsid w:val="00EA72DF"/>
    <w:rsid w:val="00EA7A03"/>
    <w:rsid w:val="00EA7A2A"/>
    <w:rsid w:val="00EB02D9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CC1"/>
    <w:rsid w:val="00EB56A6"/>
    <w:rsid w:val="00EB572F"/>
    <w:rsid w:val="00EB5F8F"/>
    <w:rsid w:val="00EB7428"/>
    <w:rsid w:val="00EB75F5"/>
    <w:rsid w:val="00EB76A3"/>
    <w:rsid w:val="00EB7EB8"/>
    <w:rsid w:val="00EB7ED9"/>
    <w:rsid w:val="00EC04B9"/>
    <w:rsid w:val="00EC1386"/>
    <w:rsid w:val="00EC1389"/>
    <w:rsid w:val="00EC16B9"/>
    <w:rsid w:val="00EC17C6"/>
    <w:rsid w:val="00EC1E84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B3A"/>
    <w:rsid w:val="00EC61E9"/>
    <w:rsid w:val="00EC65FB"/>
    <w:rsid w:val="00EC6A16"/>
    <w:rsid w:val="00EC6B6D"/>
    <w:rsid w:val="00EC6B74"/>
    <w:rsid w:val="00EC6C78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24B7"/>
    <w:rsid w:val="00EE2C8F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1D4"/>
    <w:rsid w:val="00EF2566"/>
    <w:rsid w:val="00EF2D49"/>
    <w:rsid w:val="00EF31C1"/>
    <w:rsid w:val="00EF31EB"/>
    <w:rsid w:val="00EF324A"/>
    <w:rsid w:val="00EF344D"/>
    <w:rsid w:val="00EF3A15"/>
    <w:rsid w:val="00EF3E13"/>
    <w:rsid w:val="00EF4048"/>
    <w:rsid w:val="00EF4CED"/>
    <w:rsid w:val="00EF4E3D"/>
    <w:rsid w:val="00EF55B2"/>
    <w:rsid w:val="00EF58F7"/>
    <w:rsid w:val="00EF6723"/>
    <w:rsid w:val="00EF6DC8"/>
    <w:rsid w:val="00EF783F"/>
    <w:rsid w:val="00EF7C42"/>
    <w:rsid w:val="00F002FD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3794"/>
    <w:rsid w:val="00F138DC"/>
    <w:rsid w:val="00F13F89"/>
    <w:rsid w:val="00F13FA1"/>
    <w:rsid w:val="00F14453"/>
    <w:rsid w:val="00F14A4E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7190"/>
    <w:rsid w:val="00F17273"/>
    <w:rsid w:val="00F178CD"/>
    <w:rsid w:val="00F17C9D"/>
    <w:rsid w:val="00F17EAD"/>
    <w:rsid w:val="00F2009E"/>
    <w:rsid w:val="00F209B5"/>
    <w:rsid w:val="00F20D76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A95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D6B"/>
    <w:rsid w:val="00F511C5"/>
    <w:rsid w:val="00F512D2"/>
    <w:rsid w:val="00F513B2"/>
    <w:rsid w:val="00F5143A"/>
    <w:rsid w:val="00F51904"/>
    <w:rsid w:val="00F51D73"/>
    <w:rsid w:val="00F52023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BCE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33CA"/>
    <w:rsid w:val="00F837DB"/>
    <w:rsid w:val="00F84061"/>
    <w:rsid w:val="00F84201"/>
    <w:rsid w:val="00F84FC6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DC8"/>
    <w:rsid w:val="00F946DC"/>
    <w:rsid w:val="00F94C0B"/>
    <w:rsid w:val="00F94D22"/>
    <w:rsid w:val="00F94D83"/>
    <w:rsid w:val="00F95B29"/>
    <w:rsid w:val="00F95B7E"/>
    <w:rsid w:val="00F965EA"/>
    <w:rsid w:val="00F96C56"/>
    <w:rsid w:val="00F96EAC"/>
    <w:rsid w:val="00F970CE"/>
    <w:rsid w:val="00F97D60"/>
    <w:rsid w:val="00FA02FD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6190"/>
    <w:rsid w:val="00FC062A"/>
    <w:rsid w:val="00FC06AC"/>
    <w:rsid w:val="00FC0A78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6EC"/>
    <w:rsid w:val="00FE5BD7"/>
    <w:rsid w:val="00FE6631"/>
    <w:rsid w:val="00FE6A60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4835"/>
    <w:rsid w:val="00FF49F1"/>
    <w:rsid w:val="00FF4A19"/>
    <w:rsid w:val="00FF4A7C"/>
    <w:rsid w:val="00FF59D8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51E7AA9"/>
    <w:rsid w:val="051FB8BD"/>
    <w:rsid w:val="053F6D4C"/>
    <w:rsid w:val="062DE11B"/>
    <w:rsid w:val="069C542E"/>
    <w:rsid w:val="07839F69"/>
    <w:rsid w:val="079BCD6C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100E5A18"/>
    <w:rsid w:val="106C3A89"/>
    <w:rsid w:val="1096053E"/>
    <w:rsid w:val="11222DC2"/>
    <w:rsid w:val="11610A2A"/>
    <w:rsid w:val="117EDE0C"/>
    <w:rsid w:val="1193289C"/>
    <w:rsid w:val="134074A4"/>
    <w:rsid w:val="13CD50F5"/>
    <w:rsid w:val="149B49E3"/>
    <w:rsid w:val="14E757D1"/>
    <w:rsid w:val="1531D385"/>
    <w:rsid w:val="154657DF"/>
    <w:rsid w:val="155BDA79"/>
    <w:rsid w:val="164E70D0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4EF80"/>
    <w:rsid w:val="1C702E34"/>
    <w:rsid w:val="1C771209"/>
    <w:rsid w:val="1CF46EBA"/>
    <w:rsid w:val="1DA6C739"/>
    <w:rsid w:val="1DC2E674"/>
    <w:rsid w:val="1E8218CF"/>
    <w:rsid w:val="1E928B4F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C854AA"/>
    <w:rsid w:val="29D223B5"/>
    <w:rsid w:val="29EAAD30"/>
    <w:rsid w:val="29F3CD77"/>
    <w:rsid w:val="2A6974FD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D3FC4D"/>
    <w:rsid w:val="3317283E"/>
    <w:rsid w:val="33710526"/>
    <w:rsid w:val="33E04634"/>
    <w:rsid w:val="343C4530"/>
    <w:rsid w:val="347F382E"/>
    <w:rsid w:val="34CCC7FB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D28097"/>
    <w:rsid w:val="463DFCE1"/>
    <w:rsid w:val="466B6F30"/>
    <w:rsid w:val="46A1E733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B3C776"/>
    <w:rsid w:val="54BF163B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F0E784"/>
    <w:rsid w:val="6CEB38B4"/>
    <w:rsid w:val="6DA58FBC"/>
    <w:rsid w:val="6E5EBBDF"/>
    <w:rsid w:val="6EC804DB"/>
    <w:rsid w:val="6EE2F9DF"/>
    <w:rsid w:val="6EE54DEB"/>
    <w:rsid w:val="6F0A852A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EA3AFE"/>
    <w:rsid w:val="744ADD31"/>
    <w:rsid w:val="746D5662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44216A"/>
    <w:rsid w:val="7B59AAA8"/>
    <w:rsid w:val="7D08CA1D"/>
    <w:rsid w:val="7D5510CE"/>
    <w:rsid w:val="7D9AE550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33156964-54E1-4212-81BC-32BA95D8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FD01A4-ABAF-4FD1-BF4C-9652BF8DC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Intel-Ziyi-1103</cp:lastModifiedBy>
  <cp:revision>6</cp:revision>
  <dcterms:created xsi:type="dcterms:W3CDTF">2023-11-03T03:39:00Z</dcterms:created>
  <dcterms:modified xsi:type="dcterms:W3CDTF">2023-11-03T03:42:00Z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